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uto"/>
        <w:ind w:left="0" w:right="0"/>
        <w:jc w:val="center"/>
        <w:rPr>
          <w:b/>
          <w:color w:val="000000"/>
          <w:sz w:val="28"/>
          <w:szCs w:val="28"/>
        </w:rPr>
      </w:pPr>
      <w:r>
        <w:rPr>
          <w:b/>
          <w:color w:val="000000"/>
          <w:sz w:val="28"/>
          <w:szCs w:val="28"/>
          <w:bdr w:val="none" w:color="auto" w:sz="0" w:space="0"/>
        </w:rPr>
        <w:t>南昌市城区2020年土地定级与基准地价更新应用成果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lang w:val="en-US" w:eastAsia="zh-CN" w:bidi="ar"/>
        </w:rPr>
        <w:t>发布时间：</w:t>
      </w:r>
      <w:r>
        <w:rPr>
          <w:rFonts w:hint="eastAsia" w:ascii="微软雅黑" w:hAnsi="微软雅黑" w:eastAsia="微软雅黑" w:cs="微软雅黑"/>
          <w:b/>
          <w:color w:val="333333"/>
          <w:kern w:val="0"/>
          <w:sz w:val="24"/>
          <w:szCs w:val="24"/>
          <w:bdr w:val="none" w:color="auto" w:sz="0" w:space="0"/>
          <w:lang w:val="en-US" w:eastAsia="zh-CN" w:bidi="ar"/>
        </w:rPr>
        <w:t>2020-12-07 17:15:29</w:t>
      </w:r>
      <w:r>
        <w:rPr>
          <w:rFonts w:hint="eastAsia" w:ascii="微软雅黑" w:hAnsi="微软雅黑" w:eastAsia="微软雅黑" w:cs="微软雅黑"/>
          <w:color w:val="333333"/>
          <w:kern w:val="0"/>
          <w:sz w:val="24"/>
          <w:szCs w:val="24"/>
          <w:bdr w:val="none" w:color="auto" w:sz="0" w:space="0"/>
          <w:lang w:val="en-US" w:eastAsia="zh-CN" w:bidi="ar"/>
        </w:rPr>
        <w:t>来源：</w:t>
      </w:r>
      <w:r>
        <w:rPr>
          <w:rFonts w:hint="eastAsia" w:ascii="微软雅黑" w:hAnsi="微软雅黑" w:eastAsia="微软雅黑" w:cs="微软雅黑"/>
          <w:b/>
          <w:color w:val="333333"/>
          <w:kern w:val="0"/>
          <w:sz w:val="24"/>
          <w:szCs w:val="24"/>
          <w:bdr w:val="none" w:color="auto" w:sz="0" w:space="0"/>
          <w:lang w:val="en-US" w:eastAsia="zh-CN" w:bidi="ar"/>
        </w:rPr>
        <w:t>南昌市自然资源局</w:t>
      </w:r>
      <w:r>
        <w:rPr>
          <w:rFonts w:hint="eastAsia" w:ascii="微软雅黑" w:hAnsi="微软雅黑" w:eastAsia="微软雅黑" w:cs="微软雅黑"/>
          <w:color w:val="333333"/>
          <w:kern w:val="0"/>
          <w:sz w:val="24"/>
          <w:szCs w:val="24"/>
          <w:bdr w:val="none" w:color="auto" w:sz="0" w:space="0"/>
          <w:lang w:val="en-US" w:eastAsia="zh-CN" w:bidi="ar"/>
        </w:rPr>
        <w:t>浏览量：</w:t>
      </w:r>
      <w:r>
        <w:rPr>
          <w:rFonts w:hint="eastAsia" w:ascii="微软雅黑" w:hAnsi="微软雅黑" w:eastAsia="微软雅黑" w:cs="微软雅黑"/>
          <w:b/>
          <w:color w:val="333333"/>
          <w:kern w:val="0"/>
          <w:sz w:val="24"/>
          <w:szCs w:val="24"/>
          <w:bdr w:val="none" w:color="auto" w:sz="0" w:space="0"/>
          <w:lang w:val="en-US" w:eastAsia="zh-CN" w:bidi="ar"/>
        </w:rPr>
        <w:t>118字体：</w:t>
      </w:r>
      <w:r>
        <w:rPr>
          <w:rFonts w:hint="eastAsia" w:ascii="微软雅黑" w:hAnsi="微软雅黑" w:eastAsia="微软雅黑" w:cs="微软雅黑"/>
          <w:kern w:val="0"/>
          <w:sz w:val="24"/>
          <w:szCs w:val="24"/>
          <w:bdr w:val="none" w:color="auto" w:sz="0" w:space="0"/>
          <w:lang w:val="en-US" w:eastAsia="zh-CN" w:bidi="ar"/>
        </w:rPr>
        <w:fldChar w:fldCharType="begin"/>
      </w:r>
      <w:r>
        <w:rPr>
          <w:rFonts w:hint="eastAsia" w:ascii="微软雅黑" w:hAnsi="微软雅黑" w:eastAsia="微软雅黑" w:cs="微软雅黑"/>
          <w:kern w:val="0"/>
          <w:sz w:val="24"/>
          <w:szCs w:val="24"/>
          <w:bdr w:val="none" w:color="auto" w:sz="0" w:space="0"/>
          <w:lang w:val="en-US" w:eastAsia="zh-CN" w:bidi="ar"/>
        </w:rPr>
        <w:instrText xml:space="preserve"> HYPERLINK "http://bnr.nc.gov.cn/ncszrzyj/sjzdj/202012/javascript:void(0);" </w:instrText>
      </w:r>
      <w:r>
        <w:rPr>
          <w:rFonts w:hint="eastAsia" w:ascii="微软雅黑" w:hAnsi="微软雅黑" w:eastAsia="微软雅黑" w:cs="微软雅黑"/>
          <w:kern w:val="0"/>
          <w:sz w:val="24"/>
          <w:szCs w:val="24"/>
          <w:bdr w:val="none" w:color="auto" w:sz="0" w:space="0"/>
          <w:lang w:val="en-US" w:eastAsia="zh-CN" w:bidi="ar"/>
        </w:rPr>
        <w:fldChar w:fldCharType="separate"/>
      </w:r>
      <w:r>
        <w:rPr>
          <w:rStyle w:val="10"/>
          <w:rFonts w:hint="eastAsia" w:ascii="微软雅黑" w:hAnsi="微软雅黑" w:eastAsia="微软雅黑" w:cs="微软雅黑"/>
          <w:sz w:val="24"/>
          <w:szCs w:val="24"/>
          <w:bdr w:val="none" w:color="auto" w:sz="0" w:space="0"/>
        </w:rPr>
        <w:t>大</w:t>
      </w:r>
      <w:r>
        <w:rPr>
          <w:rFonts w:hint="eastAsia" w:ascii="微软雅黑" w:hAnsi="微软雅黑" w:eastAsia="微软雅黑" w:cs="微软雅黑"/>
          <w:kern w:val="0"/>
          <w:sz w:val="24"/>
          <w:szCs w:val="24"/>
          <w:bdr w:val="none" w:color="auto" w:sz="0" w:space="0"/>
          <w:lang w:val="en-US" w:eastAsia="zh-CN" w:bidi="ar"/>
        </w:rPr>
        <w:fldChar w:fldCharType="end"/>
      </w:r>
      <w:r>
        <w:rPr>
          <w:rFonts w:hint="eastAsia" w:ascii="微软雅黑" w:hAnsi="微软雅黑" w:eastAsia="微软雅黑" w:cs="微软雅黑"/>
          <w:kern w:val="0"/>
          <w:sz w:val="24"/>
          <w:szCs w:val="24"/>
          <w:bdr w:val="none" w:color="auto" w:sz="0" w:space="0"/>
          <w:lang w:val="en-US" w:eastAsia="zh-CN" w:bidi="ar"/>
        </w:rPr>
        <w:fldChar w:fldCharType="begin"/>
      </w:r>
      <w:r>
        <w:rPr>
          <w:rFonts w:hint="eastAsia" w:ascii="微软雅黑" w:hAnsi="微软雅黑" w:eastAsia="微软雅黑" w:cs="微软雅黑"/>
          <w:kern w:val="0"/>
          <w:sz w:val="24"/>
          <w:szCs w:val="24"/>
          <w:bdr w:val="none" w:color="auto" w:sz="0" w:space="0"/>
          <w:lang w:val="en-US" w:eastAsia="zh-CN" w:bidi="ar"/>
        </w:rPr>
        <w:instrText xml:space="preserve"> HYPERLINK "http://bnr.nc.gov.cn/ncszrzyj/sjzdj/202012/javascript:void(0);" </w:instrText>
      </w:r>
      <w:r>
        <w:rPr>
          <w:rFonts w:hint="eastAsia" w:ascii="微软雅黑" w:hAnsi="微软雅黑" w:eastAsia="微软雅黑" w:cs="微软雅黑"/>
          <w:kern w:val="0"/>
          <w:sz w:val="24"/>
          <w:szCs w:val="24"/>
          <w:bdr w:val="none" w:color="auto" w:sz="0" w:space="0"/>
          <w:lang w:val="en-US" w:eastAsia="zh-CN" w:bidi="ar"/>
        </w:rPr>
        <w:fldChar w:fldCharType="separate"/>
      </w:r>
      <w:r>
        <w:rPr>
          <w:rStyle w:val="10"/>
          <w:rFonts w:hint="eastAsia" w:ascii="微软雅黑" w:hAnsi="微软雅黑" w:eastAsia="微软雅黑" w:cs="微软雅黑"/>
          <w:sz w:val="24"/>
          <w:szCs w:val="24"/>
          <w:bdr w:val="none" w:color="auto" w:sz="0" w:space="0"/>
        </w:rPr>
        <w:t>中</w:t>
      </w:r>
      <w:r>
        <w:rPr>
          <w:rFonts w:hint="eastAsia" w:ascii="微软雅黑" w:hAnsi="微软雅黑" w:eastAsia="微软雅黑" w:cs="微软雅黑"/>
          <w:kern w:val="0"/>
          <w:sz w:val="24"/>
          <w:szCs w:val="24"/>
          <w:bdr w:val="none" w:color="auto" w:sz="0" w:space="0"/>
          <w:lang w:val="en-US" w:eastAsia="zh-CN" w:bidi="ar"/>
        </w:rPr>
        <w:fldChar w:fldCharType="end"/>
      </w:r>
      <w:r>
        <w:rPr>
          <w:rFonts w:hint="eastAsia" w:ascii="微软雅黑" w:hAnsi="微软雅黑" w:eastAsia="微软雅黑" w:cs="微软雅黑"/>
          <w:kern w:val="0"/>
          <w:sz w:val="24"/>
          <w:szCs w:val="24"/>
          <w:bdr w:val="none" w:color="auto" w:sz="0" w:space="0"/>
          <w:lang w:val="en-US" w:eastAsia="zh-CN" w:bidi="ar"/>
        </w:rPr>
        <w:fldChar w:fldCharType="begin"/>
      </w:r>
      <w:r>
        <w:rPr>
          <w:rFonts w:hint="eastAsia" w:ascii="微软雅黑" w:hAnsi="微软雅黑" w:eastAsia="微软雅黑" w:cs="微软雅黑"/>
          <w:kern w:val="0"/>
          <w:sz w:val="24"/>
          <w:szCs w:val="24"/>
          <w:bdr w:val="none" w:color="auto" w:sz="0" w:space="0"/>
          <w:lang w:val="en-US" w:eastAsia="zh-CN" w:bidi="ar"/>
        </w:rPr>
        <w:instrText xml:space="preserve"> HYPERLINK "http://bnr.nc.gov.cn/ncszrzyj/sjzdj/202012/javascript:void(0);" </w:instrText>
      </w:r>
      <w:r>
        <w:rPr>
          <w:rFonts w:hint="eastAsia" w:ascii="微软雅黑" w:hAnsi="微软雅黑" w:eastAsia="微软雅黑" w:cs="微软雅黑"/>
          <w:kern w:val="0"/>
          <w:sz w:val="24"/>
          <w:szCs w:val="24"/>
          <w:bdr w:val="none" w:color="auto" w:sz="0" w:space="0"/>
          <w:lang w:val="en-US" w:eastAsia="zh-CN" w:bidi="ar"/>
        </w:rPr>
        <w:fldChar w:fldCharType="separate"/>
      </w:r>
      <w:r>
        <w:rPr>
          <w:rStyle w:val="10"/>
          <w:rFonts w:hint="eastAsia" w:ascii="微软雅黑" w:hAnsi="微软雅黑" w:eastAsia="微软雅黑" w:cs="微软雅黑"/>
          <w:sz w:val="24"/>
          <w:szCs w:val="24"/>
          <w:bdr w:val="none" w:color="auto" w:sz="0" w:space="0"/>
        </w:rPr>
        <w:t>小</w:t>
      </w:r>
      <w:r>
        <w:rPr>
          <w:rFonts w:hint="eastAsia" w:ascii="微软雅黑" w:hAnsi="微软雅黑" w:eastAsia="微软雅黑" w:cs="微软雅黑"/>
          <w:kern w:val="0"/>
          <w:sz w:val="24"/>
          <w:szCs w:val="24"/>
          <w:bdr w:val="none" w:color="auto" w:sz="0" w:space="0"/>
          <w:lang w:val="en-US" w:eastAsia="zh-CN" w:bidi="ar"/>
        </w:rPr>
        <w:fldChar w:fldCharType="end"/>
      </w:r>
      <w:r>
        <w:rPr>
          <w:rFonts w:hint="eastAsia" w:ascii="微软雅黑" w:hAnsi="微软雅黑" w:eastAsia="微软雅黑" w:cs="微软雅黑"/>
          <w:color w:val="333333"/>
          <w:kern w:val="0"/>
          <w:sz w:val="24"/>
          <w:szCs w:val="24"/>
          <w:bdr w:val="none" w:color="auto" w:sz="0" w:space="0"/>
          <w:lang w:val="en-US" w:eastAsia="zh-CN" w:bidi="ar"/>
        </w:rPr>
        <w:t xml:space="preserve"> </w:t>
      </w:r>
      <w:bookmarkStart w:id="0" w:name="_GoBack"/>
      <w:bookmarkEnd w:id="0"/>
    </w:p>
    <w:p>
      <w:pPr>
        <w:pStyle w:val="3"/>
        <w:keepNext w:val="0"/>
        <w:keepLines w:val="0"/>
        <w:widowControl/>
        <w:suppressLineNumbers w:val="0"/>
        <w:spacing w:before="0" w:beforeAutospacing="0" w:after="0" w:afterAutospacing="0"/>
        <w:ind w:left="0" w:right="0"/>
        <w:jc w:val="left"/>
      </w:pPr>
      <w:r>
        <w:rPr>
          <w:rFonts w:ascii="仿宋" w:hAnsi="仿宋" w:eastAsia="仿宋" w:cs="仿宋"/>
          <w:color w:val="333333"/>
        </w:rPr>
        <w:t>一、级别划分结果</w:t>
      </w:r>
    </w:p>
    <w:p>
      <w:pPr>
        <w:pStyle w:val="4"/>
        <w:keepNext w:val="0"/>
        <w:keepLines w:val="0"/>
        <w:widowControl/>
        <w:suppressLineNumbers w:val="0"/>
        <w:spacing w:before="0" w:beforeAutospacing="0" w:after="0" w:afterAutospacing="0" w:line="360" w:lineRule="auto"/>
        <w:ind w:left="0" w:right="0" w:firstLine="480"/>
        <w:jc w:val="both"/>
        <w:rPr>
          <w:rFonts w:ascii="Calibri" w:hAnsi="Calibri" w:cs="Calibri"/>
          <w:sz w:val="21"/>
          <w:szCs w:val="21"/>
        </w:rPr>
      </w:pPr>
      <w:r>
        <w:rPr>
          <w:rFonts w:hint="eastAsia" w:ascii="仿宋" w:hAnsi="仿宋" w:eastAsia="仿宋" w:cs="仿宋"/>
          <w:color w:val="333333"/>
          <w:sz w:val="24"/>
          <w:szCs w:val="24"/>
        </w:rPr>
        <w:t>1、土地定级用地类型与级别数</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2020南昌市城区土地定级及基准地价更新项目分别进行了综合定级、商服用地定级、商务金融和旅馆用地定级、住宅用地定级、工业用地定级、公共服务用地等六种类型的土地定级，级别数分别为：综合定级7级，商服用地7级、商务金融、旅馆用地、住宅用地及工业用地各6级，公共服务用地5级。</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2、各类各级用地的范围</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（1）综合定级级别界线与范围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xml:space="preserve">  表1-1 综合土地定级级别界线与范围 </w:t>
      </w:r>
    </w:p>
    <w:tbl>
      <w:tblPr>
        <w:tblW w:w="955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28"/>
        <w:gridCol w:w="86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44" w:hRule="atLeast"/>
          <w:tblHeader/>
          <w:jc w:val="center"/>
        </w:trPr>
        <w:tc>
          <w:tcPr>
            <w:tcW w:w="92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63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综合土地定级各级土地范围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99"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由以下路线围合而成的区域：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区域1（红谷滩片区）：</w:t>
            </w:r>
            <w:r>
              <w:rPr>
                <w:rFonts w:hint="eastAsia" w:ascii="仿宋" w:hAnsi="仿宋" w:eastAsia="仿宋" w:cs="仿宋"/>
                <w:color w:val="333333"/>
                <w:sz w:val="21"/>
                <w:szCs w:val="21"/>
              </w:rPr>
              <w:t>庐山南大道——赣江中大道——丽景路——凤凰中大道——庐山南大道；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区域2（老城区-青山湖片区）：</w:t>
            </w:r>
            <w:r>
              <w:rPr>
                <w:rFonts w:hint="eastAsia" w:ascii="仿宋" w:hAnsi="仿宋" w:eastAsia="仿宋" w:cs="仿宋"/>
                <w:color w:val="333333"/>
                <w:sz w:val="21"/>
                <w:szCs w:val="21"/>
              </w:rPr>
              <w:t>南京西路——南京东路——青山湖大道——顺外路——上海路——解放西路——井冈山大道——站前西路——南浦路——抚河北路——民德西路——民德路——苏圃路——南京西路。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89"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由一级区域的边界与以下线路围合而成的区域：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区域1（红谷滩凤凰洲片区）：</w:t>
            </w:r>
            <w:r>
              <w:rPr>
                <w:rFonts w:hint="eastAsia" w:ascii="仿宋" w:hAnsi="仿宋" w:eastAsia="仿宋" w:cs="仿宋"/>
                <w:color w:val="333333"/>
                <w:sz w:val="21"/>
                <w:szCs w:val="21"/>
              </w:rPr>
              <w:t>香江路——濠江路——赣江北大道——赣江中大道——南斯友好路——枫生高速——香江路；</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与一级地“老城区-青山湖片区”围成区域；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区域2（老城区-青山湖区-高新片区）</w:t>
            </w:r>
            <w:r>
              <w:rPr>
                <w:rFonts w:hint="eastAsia" w:ascii="仿宋" w:hAnsi="仿宋" w:eastAsia="仿宋" w:cs="仿宋"/>
                <w:color w:val="333333"/>
                <w:sz w:val="21"/>
                <w:szCs w:val="21"/>
              </w:rPr>
              <w:t>：爱国路——上沙窝路——三经路——二七北路——阳明东路——青山湖隧道——国威路——高新大道——南京东路——京东南大道——顺外路——高新南大道——解放西路——野溪路——洪都南大道——何坊西路——抚河中路——桃苑大街——沿江中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与一级地“老城区-青山湖-高新片区”围成区域。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916"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以二级边界为界线，主要为以下五个区域：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区域1（红谷滩凤凰洲片区）：</w:t>
            </w:r>
            <w:r>
              <w:rPr>
                <w:rFonts w:hint="eastAsia" w:ascii="仿宋" w:hAnsi="仿宋" w:eastAsia="仿宋" w:cs="仿宋"/>
                <w:color w:val="333333"/>
                <w:sz w:val="21"/>
                <w:szCs w:val="21"/>
              </w:rPr>
              <w:t>黄河路——赣江北大道——濠江路——凤凰北大道——香江路——碟子湖大道；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区域2（前湖片区）：</w:t>
            </w:r>
            <w:r>
              <w:rPr>
                <w:rFonts w:hint="eastAsia" w:ascii="仿宋" w:hAnsi="仿宋" w:eastAsia="仿宋" w:cs="仿宋"/>
                <w:color w:val="333333"/>
                <w:sz w:val="21"/>
                <w:szCs w:val="21"/>
              </w:rPr>
              <w:t>南斯友好路——赣江中大道——龙兴大街——枫生高速；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区域3（朝阳片区）：</w:t>
            </w:r>
            <w:r>
              <w:rPr>
                <w:rFonts w:hint="eastAsia" w:ascii="仿宋" w:hAnsi="仿宋" w:eastAsia="仿宋" w:cs="仿宋"/>
                <w:color w:val="333333"/>
                <w:sz w:val="21"/>
                <w:szCs w:val="21"/>
              </w:rPr>
              <w:t>桃苑大街——桃苑东路——九州大道高架快速路——真君路——昌南大道——沿江南大道；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区域3（沿江北片区）：</w:t>
            </w:r>
            <w:r>
              <w:rPr>
                <w:rFonts w:hint="eastAsia" w:ascii="仿宋" w:hAnsi="仿宋" w:eastAsia="仿宋" w:cs="仿宋"/>
                <w:color w:val="333333"/>
                <w:sz w:val="21"/>
                <w:szCs w:val="21"/>
              </w:rPr>
              <w:t>沿江北大道——赣桥北路——赣桥南路——阳明东路——二七北路——上沙窝路——爱国路——阳明路——沿江北大道；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区域4（艾溪湖紫阳大道-青云谱片区）：</w:t>
            </w:r>
            <w:r>
              <w:rPr>
                <w:rFonts w:hint="eastAsia" w:ascii="仿宋" w:hAnsi="仿宋" w:eastAsia="仿宋" w:cs="仿宋"/>
                <w:color w:val="333333"/>
                <w:sz w:val="21"/>
                <w:szCs w:val="21"/>
              </w:rPr>
              <w:t>国泰路——火炬二路——艾溪湖西路——昌东大道——昌东路——黎明路——石桥路——新溪桥路——博文路——广州路——井冈山大道——三店西路——沿象湖——抚河中路；</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区域5（经济技术开发区及临空经济区片区）：</w:t>
            </w:r>
            <w:r>
              <w:rPr>
                <w:rFonts w:hint="eastAsia" w:ascii="仿宋" w:hAnsi="仿宋" w:eastAsia="仿宋" w:cs="仿宋"/>
                <w:color w:val="333333"/>
                <w:sz w:val="21"/>
                <w:szCs w:val="21"/>
              </w:rPr>
              <w:t>由经济技术开发区及临空经济区定级范围界线----铁路----志敏大道----桂苑大道----双港西大街----芙蓉路----枫林西大街----海棠南路----菊圃路----青岚大道围合而成区域。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652"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区域1（经开片区）：</w:t>
            </w:r>
            <w:r>
              <w:rPr>
                <w:rFonts w:hint="eastAsia" w:ascii="仿宋" w:hAnsi="仿宋" w:eastAsia="仿宋" w:cs="仿宋"/>
                <w:color w:val="333333"/>
                <w:sz w:val="21"/>
                <w:szCs w:val="21"/>
              </w:rPr>
              <w:t>北至定级界线——东至赣江——赣江北大道——黄河路——碟子湖大道——庐山南大道——西至定级界线；</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区域2（青山湖片区）：</w:t>
            </w:r>
            <w:r>
              <w:rPr>
                <w:rFonts w:hint="eastAsia" w:ascii="仿宋" w:hAnsi="仿宋" w:eastAsia="仿宋" w:cs="仿宋"/>
                <w:color w:val="333333"/>
                <w:sz w:val="21"/>
                <w:szCs w:val="21"/>
              </w:rPr>
              <w:t>沿江北大道——江防厂前路——青山湖大道——民强路——火炬三路——艾溪湖西路——火炬二路——国泰路——湖滨东路——湖滨西路——洪都北大道；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区域3（紫阳片区）：</w:t>
            </w:r>
            <w:r>
              <w:rPr>
                <w:rFonts w:hint="eastAsia" w:ascii="仿宋" w:hAnsi="仿宋" w:eastAsia="仿宋" w:cs="仿宋"/>
                <w:color w:val="333333"/>
                <w:sz w:val="21"/>
                <w:szCs w:val="21"/>
              </w:rPr>
              <w:t>艾溪湖四路——艾溪湖二路——艾溪湖一路——瑶湖西大街——天祥大道——慈母路——博览路——昌东大道——朱桥东路——昌南大道——施尧路——三店西路——井冈山大道——广州路——博文路——新溪桥路——石桥路——黎明路——昌东路——昌东大道——沿艾溪湖；</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区域3（九龙湖片区）：</w:t>
            </w:r>
            <w:r>
              <w:rPr>
                <w:rFonts w:hint="eastAsia" w:ascii="仿宋" w:hAnsi="仿宋" w:eastAsia="仿宋" w:cs="仿宋"/>
                <w:color w:val="333333"/>
                <w:sz w:val="21"/>
                <w:szCs w:val="21"/>
              </w:rPr>
              <w:t>枫生高速——龙兴大街——赣江南大道——抚州大街——枫生高速——阁皂山大道——G320国道；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由经济技术开发区及临空经济区界线----经济技术开发区及临空经济区三级区域的边界------昌西大道---铁路----英雄大道----空港大道围合而成区域。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63"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区域1（青山湖-艾溪湖片区）：</w:t>
            </w:r>
            <w:r>
              <w:rPr>
                <w:rFonts w:hint="eastAsia" w:ascii="仿宋" w:hAnsi="仿宋" w:eastAsia="仿宋" w:cs="仿宋"/>
                <w:color w:val="333333"/>
                <w:sz w:val="21"/>
                <w:szCs w:val="21"/>
              </w:rPr>
              <w:t>沿江北大道——高新大道——艾溪湖北路——城东一路——沿瑶湖——南至定级边界——天祥大道——艾溪湖南路——瑶湖西大街——瑶湖西一路——艾溪湖二路——艾溪湖四路——艾溪湖北路——火炬三路——民强路——江防厂前路</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区域2（昌南片区）：</w:t>
            </w:r>
            <w:r>
              <w:rPr>
                <w:rFonts w:hint="eastAsia" w:ascii="仿宋" w:hAnsi="仿宋" w:eastAsia="仿宋" w:cs="仿宋"/>
                <w:color w:val="333333"/>
                <w:sz w:val="21"/>
                <w:szCs w:val="21"/>
              </w:rPr>
              <w:t>博览路——慈母路——东至定级边界——南至定级边界——芳湖路——昌南大道——朱桥东路</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区域3（九龙湖片区片区）：</w:t>
            </w:r>
            <w:r>
              <w:rPr>
                <w:rFonts w:hint="eastAsia" w:ascii="仿宋" w:hAnsi="仿宋" w:eastAsia="仿宋" w:cs="仿宋"/>
                <w:color w:val="333333"/>
                <w:sz w:val="21"/>
                <w:szCs w:val="21"/>
              </w:rPr>
              <w:t>阁皂山大道——上饶大街——抚州大街——赣江南大道——萍乡大街——枫生高速——抚州大街——明月山大道——北至定级边界</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由经济技术开发区及临空经济区界线----经济技术开发区及临空经济区四级区域的边界----儒乐湖大道围合而成区域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37"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六级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区域1（扬子洲片区）：</w:t>
            </w:r>
            <w:r>
              <w:rPr>
                <w:rFonts w:hint="eastAsia" w:ascii="仿宋" w:hAnsi="仿宋" w:eastAsia="仿宋" w:cs="仿宋"/>
                <w:color w:val="333333"/>
                <w:sz w:val="21"/>
                <w:szCs w:val="21"/>
              </w:rPr>
              <w:t>北至雷神坛路，南至联民路，东西以赣江为界；</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区域2（沿江北-瑶湖片区）：</w:t>
            </w:r>
            <w:r>
              <w:rPr>
                <w:rFonts w:hint="eastAsia" w:ascii="仿宋" w:hAnsi="仿宋" w:eastAsia="仿宋" w:cs="仿宋"/>
                <w:color w:val="333333"/>
                <w:sz w:val="21"/>
                <w:szCs w:val="21"/>
              </w:rPr>
              <w:t>沿江北大道——南昌绕城高速——南至定级边界——沿瑶湖——城东一路——艾溪湖北路——东元路——高新大道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区域3（枫生-南昌绕城高速片区）：</w:t>
            </w:r>
            <w:r>
              <w:rPr>
                <w:rFonts w:hint="eastAsia" w:ascii="仿宋" w:hAnsi="仿宋" w:eastAsia="仿宋" w:cs="仿宋"/>
                <w:color w:val="333333"/>
                <w:sz w:val="21"/>
                <w:szCs w:val="21"/>
              </w:rPr>
              <w:t>明月山大道——抚州大街——枫生高速——赣江南大道——南至定级边界——西至G320国道；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由经济技术开发区及临空经济区界线----经济技术开发区及临空经济区五级区域的边界---福银高速---铁路----金山大道----七里岗大街围合而成区域。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40" w:hRule="atLeast"/>
          <w:jc w:val="center"/>
        </w:trPr>
        <w:tc>
          <w:tcPr>
            <w:tcW w:w="92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七级</w:t>
            </w:r>
          </w:p>
        </w:tc>
        <w:tc>
          <w:tcPr>
            <w:tcW w:w="863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定级范围界线与前六级边界围合而成的区域。（扬子洲片区、瑶湖东片区、经济技术开发区及临空经济区六级以外更新范围以内区域）</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333333"/>
        </w:rPr>
      </w:pP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4"/>
          <w:szCs w:val="24"/>
        </w:rPr>
        <w:t>（2）商服用地级别界线与范围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xml:space="preserve">表1-2 商服用地级别界线与范围 </w:t>
      </w:r>
    </w:p>
    <w:tbl>
      <w:tblPr>
        <w:tblW w:w="961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21"/>
        <w:gridCol w:w="86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83" w:hRule="atLeast"/>
          <w:tblHeader/>
          <w:jc w:val="center"/>
        </w:trPr>
        <w:tc>
          <w:tcPr>
            <w:tcW w:w="9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6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商服用地各级土地范围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068"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八一大道、北京东路、凤凰中大道片区（由以下线路围合而成）：</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：阳明路—福州路—二七北路—北京西路—洪都中大道—顺外路—二七南路—解放西路—井冈山大道—站前西路—系马桩街—孺子路—抚河北路后墙路—箭道巷—阳明路；</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区域2（市政府片区）：</w:t>
            </w:r>
            <w:r>
              <w:rPr>
                <w:rFonts w:hint="eastAsia" w:ascii="仿宋" w:hAnsi="仿宋" w:eastAsia="仿宋" w:cs="仿宋"/>
                <w:color w:val="333333"/>
                <w:sz w:val="21"/>
                <w:szCs w:val="21"/>
              </w:rPr>
              <w:t>飞虹路—赣江中大道—会展路—南昌市人民政府—凤凰中大道—怡园路—红谷中大道—翠苑路—怡园路—沙井路—丰泽路—绿茵路—飞虹路。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068"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由一级界线与以下线路围合而成：</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区域1（市政府片区）：</w:t>
            </w:r>
            <w:r>
              <w:rPr>
                <w:rFonts w:hint="eastAsia" w:ascii="仿宋" w:hAnsi="仿宋" w:eastAsia="仿宋" w:cs="仿宋"/>
                <w:color w:val="333333"/>
                <w:sz w:val="21"/>
                <w:szCs w:val="21"/>
              </w:rPr>
              <w:t>黄河路—赣江北大道—赣江中大道—前湖大道—凤凰南大道——翠苑路—枫生高速—黄家湖东路—碟子湖大道—黄河路；</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区域2（老城区片区）：</w:t>
            </w:r>
            <w:r>
              <w:rPr>
                <w:rFonts w:hint="eastAsia" w:ascii="仿宋" w:hAnsi="仿宋" w:eastAsia="仿宋" w:cs="仿宋"/>
                <w:color w:val="333333"/>
                <w:sz w:val="21"/>
                <w:szCs w:val="21"/>
              </w:rPr>
              <w:t>下沙窝路—二七北路—阳明东路—湖滨南路—南京东路—高新大道—北京东路—京东南大道—顺外路—上海路—解放西路—洪都南大道—建设路—抚河中路—洪城路—沿江中大道—阳明路。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96"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由二级界线与以下线路围合而成：</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区域1（朝阳新城、青云谱片区和青山湖片区）：</w:t>
            </w:r>
            <w:r>
              <w:rPr>
                <w:rFonts w:hint="eastAsia" w:ascii="仿宋" w:hAnsi="仿宋" w:eastAsia="仿宋" w:cs="仿宋"/>
                <w:color w:val="333333"/>
                <w:sz w:val="21"/>
                <w:szCs w:val="21"/>
              </w:rPr>
              <w:t>一环线—青山北路—中大路—沿青山湖—</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—民强路—青山湖大道—火炬二路—艾溪湖西路—昌东大道—解放东路—高新南大道—新溪桥路—新溪桥南二路—何坊东路—何坊西路—九洲大道高架快速路—九洲大街—沿江北大道；</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区域2（凤凰洲片区）：</w:t>
            </w:r>
            <w:r>
              <w:rPr>
                <w:rFonts w:hint="eastAsia" w:ascii="仿宋" w:hAnsi="仿宋" w:eastAsia="仿宋" w:cs="仿宋"/>
                <w:color w:val="333333"/>
                <w:sz w:val="21"/>
                <w:szCs w:val="21"/>
              </w:rPr>
              <w:t>庐山南大道—碟子湖大道—黄河路—英雄大桥—庐山南大道；</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区域3（前湖片区）</w:t>
            </w:r>
            <w:r>
              <w:rPr>
                <w:rFonts w:hint="eastAsia" w:ascii="仿宋" w:hAnsi="仿宋" w:eastAsia="仿宋" w:cs="仿宋"/>
                <w:color w:val="333333"/>
                <w:sz w:val="21"/>
                <w:szCs w:val="21"/>
              </w:rPr>
              <w:t>：枫生高速—定级边界—黄家湖东路—枫生高速；</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翠苑路—凤凰南大道—前湖大道—赣江南大道—龙兴大道—枫生高速—祥云大道—学府大道—前湖大道—枫生高速—翠苑路；</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铁路----双港东大街----双港西大街----富樱路----玉屏东大街----玉屏西大街----青岚大道围合而成区域。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11"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由三级界线与以下线路围合而成的4个区域：</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区域1（昌南区域、青云谱片区、艾溪湖片区和青山湖区域）：</w:t>
            </w:r>
            <w:r>
              <w:rPr>
                <w:rFonts w:hint="eastAsia" w:ascii="仿宋" w:hAnsi="仿宋" w:eastAsia="仿宋" w:cs="仿宋"/>
                <w:color w:val="333333"/>
                <w:sz w:val="21"/>
                <w:szCs w:val="21"/>
              </w:rPr>
              <w:t>沿江北大道—昌东大道—艾溪湖北路—城东一路—瑶湖西大街—艾溪湖南路—天祥大道—解放东路—朱桥东路—昌南大道—定级边界—沿江南大道；</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区域2（前湖—九龙湖片区）：</w:t>
            </w:r>
            <w:r>
              <w:rPr>
                <w:rFonts w:hint="eastAsia" w:ascii="仿宋" w:hAnsi="仿宋" w:eastAsia="仿宋" w:cs="仿宋"/>
                <w:color w:val="333333"/>
                <w:sz w:val="21"/>
                <w:szCs w:val="21"/>
              </w:rPr>
              <w:t>前湖大道—学府大道—祥云大道—枫生高速—龙兴大街——赣江南大道—龙虎山大道—上饶大街—阁皂山大道—西站大街—定级边界—前湖大道；</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区域3（凤凰洲片区）：</w:t>
            </w:r>
            <w:r>
              <w:rPr>
                <w:rFonts w:hint="eastAsia" w:ascii="仿宋" w:hAnsi="仿宋" w:eastAsia="仿宋" w:cs="仿宋"/>
                <w:color w:val="333333"/>
                <w:sz w:val="21"/>
                <w:szCs w:val="21"/>
              </w:rPr>
              <w:t>定级范围线—河岸—英雄大桥；</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color w:val="333333"/>
                <w:sz w:val="21"/>
                <w:szCs w:val="21"/>
              </w:rPr>
              <w:t>经济技术开发区及临空经济区三级区域的边界----昌西大道---铁路----庐山中大道----梅林大街----经开大道----双港东大街围合而成区域。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6"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区域1（除经济技术开发区及临空经济区片区）：</w:t>
            </w:r>
            <w:r>
              <w:rPr>
                <w:rFonts w:hint="eastAsia" w:ascii="仿宋" w:hAnsi="仿宋" w:eastAsia="仿宋" w:cs="仿宋"/>
                <w:color w:val="333333"/>
                <w:sz w:val="21"/>
                <w:szCs w:val="21"/>
              </w:rPr>
              <w:t>除上述级别包含区域和六级区域以外的地区；</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区域2（经济技术开发区及临空经济区片区）：</w:t>
            </w:r>
            <w:r>
              <w:rPr>
                <w:rFonts w:hint="eastAsia" w:ascii="仿宋" w:hAnsi="仿宋" w:eastAsia="仿宋" w:cs="仿宋"/>
                <w:color w:val="333333"/>
                <w:sz w:val="21"/>
                <w:szCs w:val="21"/>
              </w:rPr>
              <w:t>由经济技术开发区及临空经济区界线----经济技术开发区及临空经济区四级区域的边界----英雄一路----建业大街围合而成区域。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740"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六级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区域1（昌南区域、青云谱片区、艾溪湖片区和青山湖区域）：</w:t>
            </w:r>
            <w:r>
              <w:rPr>
                <w:rFonts w:hint="eastAsia" w:ascii="仿宋" w:hAnsi="仿宋" w:eastAsia="仿宋" w:cs="仿宋"/>
                <w:color w:val="333333"/>
                <w:sz w:val="21"/>
                <w:szCs w:val="21"/>
              </w:rPr>
              <w:t>南昌绕城高速以东至定级边界；</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区域2（九枫生高速—昌南大道片区）：</w:t>
            </w:r>
            <w:r>
              <w:rPr>
                <w:rFonts w:hint="eastAsia" w:ascii="仿宋" w:hAnsi="仿宋" w:eastAsia="仿宋" w:cs="仿宋"/>
                <w:color w:val="333333"/>
                <w:sz w:val="21"/>
                <w:szCs w:val="21"/>
              </w:rPr>
              <w:t>杨岐山大街—明月山大道—抚州大街—枫生高速—定级边界—杨岐山大街；</w:t>
            </w:r>
          </w:p>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区域3（扬子洲片区）：</w:t>
            </w:r>
            <w:r>
              <w:rPr>
                <w:rFonts w:hint="eastAsia" w:ascii="仿宋" w:hAnsi="仿宋" w:eastAsia="仿宋" w:cs="仿宋"/>
                <w:color w:val="333333"/>
                <w:sz w:val="21"/>
                <w:szCs w:val="21"/>
              </w:rPr>
              <w:t>定级范围线内的扬子洲；</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由经济技术开发区及临空经济区界线----经济技术开发区及临空经济区五级区域的边界----福银高速---铁路----金山大道----七里岗大街围合而成区域。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68" w:hRule="atLeast"/>
          <w:jc w:val="center"/>
        </w:trPr>
        <w:tc>
          <w:tcPr>
            <w:tcW w:w="92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七级</w:t>
            </w:r>
          </w:p>
        </w:tc>
        <w:tc>
          <w:tcPr>
            <w:tcW w:w="86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区域1（经济技术开发区及临空经济区片区）：</w:t>
            </w:r>
            <w:r>
              <w:rPr>
                <w:rFonts w:hint="eastAsia" w:ascii="仿宋" w:hAnsi="仿宋" w:eastAsia="仿宋" w:cs="仿宋"/>
                <w:color w:val="333333"/>
                <w:sz w:val="21"/>
                <w:szCs w:val="21"/>
              </w:rPr>
              <w:t>经济技术开发区及临空经济区六级以外更新范围以内。</w:t>
            </w:r>
          </w:p>
        </w:tc>
      </w:tr>
    </w:tbl>
    <w:p>
      <w:pPr>
        <w:pStyle w:val="4"/>
        <w:keepNext w:val="0"/>
        <w:keepLines w:val="0"/>
        <w:widowControl/>
        <w:suppressLineNumbers w:val="0"/>
        <w:spacing w:before="0" w:beforeAutospacing="0" w:after="0" w:afterAutospacing="0" w:line="360" w:lineRule="atLeast"/>
        <w:ind w:left="0" w:right="0" w:firstLine="200"/>
        <w:jc w:val="left"/>
        <w:rPr>
          <w:rFonts w:hint="default" w:ascii="Calibri" w:hAnsi="Calibri" w:cs="Calibri"/>
          <w:sz w:val="21"/>
          <w:szCs w:val="21"/>
        </w:rPr>
      </w:pPr>
      <w:r>
        <w:rPr>
          <w:rFonts w:hint="eastAsia" w:ascii="仿宋" w:hAnsi="仿宋" w:eastAsia="仿宋" w:cs="仿宋"/>
          <w:color w:val="333333"/>
          <w:sz w:val="24"/>
          <w:szCs w:val="24"/>
        </w:rPr>
        <w:t xml:space="preserve">  </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4"/>
          <w:szCs w:val="24"/>
        </w:rPr>
        <w:t>（3）商务金融、旅馆用级别界线与范围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xml:space="preserve">表1-3   商务金融、旅馆用地级别界线与范围 </w:t>
      </w:r>
    </w:p>
    <w:tbl>
      <w:tblPr>
        <w:tblW w:w="954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26"/>
        <w:gridCol w:w="861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08" w:hRule="atLeast"/>
          <w:tblHeader/>
          <w:jc w:val="center"/>
        </w:trPr>
        <w:tc>
          <w:tcPr>
            <w:tcW w:w="92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6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商务金融、旅馆用地各级土地范围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85"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区域1（红谷滩片区）：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香江路——赣江北大道——南斯友好路——丰和中大道——丽景路——碟子湖大道；</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区域2（老城区-青山湖-高新片区）：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阳明路——阳明东路——二七北路——二七南路——洪城路——抚河中路——抚河北路——沿江中大道。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56"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由一级区域的边界与以下线路围合而成的区域：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区域1（红谷滩凤凰洲片区）：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黄河路——赣江北大道——香江路——碟子湖大道；</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区域2（学府大道片区）：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丽景路——丰和中大道——南斯友好路—-赣江中大道——前湖大道——学府大道——科苑路——枫生高速；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区域3（老城区-青山湖区）：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沿江北大道——洪都北大道——青山湖南岸（湖滨西路、湖滨东路）——国泰路——青山湖大道——南京东路——高新南大道——北京东路——青山湖大道——北京东路——青山湖大道——解放西路——洪都南大道——建设路——建设西路——桃花路——洪城路——沿江中大道；</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与一级地“老城区-青山湖区”围成区域。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94"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由二级区域的边界与以下路线围合而成的区域：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区域1（碟子湖片区）：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北一环路——赣江北大道——黄河路---俊彩路---逸兴路----庐山南大道---西至定级边界；</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区域2（前湖片区）：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科苑路——学府大道——丰和中大道——前湖大道——-南斯友好路——赣江中大道——龙兴大街——枫生高速；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与定级范围界线及二级地“学府大道片区”围成范围；</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区域3（青山湖片区）：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沿江北大道——京东大道——京东南大道——墅溪路——洪都南大道——三店西路——施尧路——灌婴路——沿江中大道；</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与二级地“老城区-青山湖区”围成范围；</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由经济技术开发区及临空经济区界线----双港东大街----双港西大街----紫荆路----枫林西大街----青岚大道围合而成区域。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632"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由三级区域的边界与以下路线围合而成的区域：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区域1（双港片区）：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北至定级界线——东至赣江——黄河路——西至定级界线；</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区域2（绿地国际博览片区）：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枫生高速---龙兴大街---赣江南大道---抚州大街---阁皂山大道----西站大街----西至定级范围边界；</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区域3（西湖区南部---青云谱---青山湖片区）：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北至定级范围边界---天祥大道---货场路---南钢大道---昌东大道---黎明路---石桥路----新溪桥路----博文路---广州路---南莲路----南至定级范围边界---西至定级范围边界</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与三级地“青山湖片区”围成区域；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由经济技术开发区及临空经济区界线----经济技术开发区及临空经济区三级区域的边界----昌西大道---铁路----英雄一路----南昌理工学院北侧----曰修路----英雄大道----空港大道围合而成区域。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46"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由四级区域的边界与以下路线围合而成的区域：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区域1（九龙湖片区）：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东至赣江南大道---南至定级范围界线---西至定级范围界线；</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与四级地“绿地国际博览片区”围成范围；</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区域2（昌东片区）：</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北至定级范围边界---东至南昌绕城高速---南至定级范围界线；</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与四级地“西湖区南部---青云谱---青山湖片区”围成范围；</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区域3（经济技术开发区及临空经济区片区）：</w:t>
            </w:r>
            <w:r>
              <w:rPr>
                <w:rFonts w:hint="eastAsia" w:ascii="仿宋" w:hAnsi="仿宋" w:eastAsia="仿宋" w:cs="仿宋"/>
                <w:color w:val="333333"/>
                <w:sz w:val="21"/>
                <w:szCs w:val="21"/>
              </w:rPr>
              <w:t>由经济技术开发区及临空经济区界线----经济技术开发区及临空经济区四级区域的边界----福银高速---铁路----金山大道----七里岗大街围合而成区域。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8" w:hRule="atLeast"/>
          <w:jc w:val="center"/>
        </w:trPr>
        <w:tc>
          <w:tcPr>
            <w:tcW w:w="92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六级</w:t>
            </w:r>
          </w:p>
        </w:tc>
        <w:tc>
          <w:tcPr>
            <w:tcW w:w="86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w:t>
            </w:r>
            <w:r>
              <w:rPr>
                <w:rFonts w:hint="eastAsia" w:ascii="仿宋" w:hAnsi="仿宋" w:eastAsia="仿宋" w:cs="仿宋"/>
                <w:color w:val="333333"/>
                <w:sz w:val="21"/>
                <w:szCs w:val="21"/>
              </w:rPr>
              <w:t>定级范围界线与前六级边界围合而成的区域。主要扬子洲、瑶湖以东</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区域2（经济技术开发区及临空经济区片区）：</w:t>
            </w:r>
            <w:r>
              <w:rPr>
                <w:rFonts w:hint="eastAsia" w:ascii="仿宋" w:hAnsi="仿宋" w:eastAsia="仿宋" w:cs="仿宋"/>
                <w:color w:val="333333"/>
                <w:sz w:val="21"/>
                <w:szCs w:val="21"/>
              </w:rPr>
              <w:t>由经济技术开发区及临空经济区五级以外更新范围以内。</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333333"/>
        </w:rPr>
      </w:pP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（4）住宅用地定级级别界线与范围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xml:space="preserve">表1-4  住宅用地定级级别界线与范围 </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18"/>
        <w:gridCol w:w="85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08" w:hRule="atLeast"/>
          <w:tblHeader/>
          <w:jc w:val="center"/>
        </w:trPr>
        <w:tc>
          <w:tcPr>
            <w:tcW w:w="91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54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住宅用地定级各级土地范围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滨江北路——二七北路——阳明东路——湖滨南路——南京东路——湖滨东路——火炬大街——高新五路——京东大道——北京东路——洪都中大道——洛阳路——二七南路——站前路——站前西路——抚河中路——南浦路——朝阳洲中路——沿江中大道——抚河北路——沿江北大道——沿江北大道与滨江北路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区域2（红谷滩片区）：</w:t>
            </w:r>
            <w:r>
              <w:rPr>
                <w:rFonts w:hint="eastAsia" w:ascii="仿宋" w:hAnsi="仿宋" w:eastAsia="仿宋" w:cs="仿宋"/>
                <w:color w:val="333333"/>
                <w:sz w:val="21"/>
                <w:szCs w:val="21"/>
              </w:rPr>
              <w:t>潦河路——红谷北大道——香江路——凤凰北大道——凤凰中大道——春晖路——沙井路——雅苑路——碟子湖大道——翠苑路——赣江中大道——赣江中大道与潦河路交汇处。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由一级区域的边界与以下路线围合而成的区域：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起凤路——中大南路——湖滨西路——洪都北大道——湖滨南路——阳明东路——湖滨东路——民强路——火炬三路——艾溪湖西路——京安路——京东南大道——顺外路——高新南大道——街坊东路——城南大道——墅溪路——洪都南大道——一环线——井冈山大道——建设路——建设西路——沿江南大道——沿江中大道——沿江北大道——沿江北大道与起凤路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由一级红谷滩片区的边界与以下线路围合而成的区域2：</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区域2（红谷滩片区）：</w:t>
            </w:r>
            <w:r>
              <w:rPr>
                <w:rFonts w:hint="eastAsia" w:ascii="仿宋" w:hAnsi="仿宋" w:eastAsia="仿宋" w:cs="仿宋"/>
                <w:color w:val="333333"/>
                <w:sz w:val="21"/>
                <w:szCs w:val="21"/>
              </w:rPr>
              <w:t>双港南路——黄河路——碟子湖大道——庐山南大道——庐山南大道与定级边界交界处——沿定级边界至黄家湖东路——黄家湖东路——沿定级边界至枫生高速——G320高速——嘉沿路——莲花路——北一路——瑞金路——岭北二路——赣江南大道——赣江中大道——赣江北大道——赣江被大道与双港南路交汇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由二级区域的边界与以下路线围合而成的区域：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江防厂前路——民园路——火炬五路——艾湖路——艾溪湖北路——艾溪湖三路——尤氨路——瑶湖西二路——瑶湖西大街——紫阳大道——天祥大道——艾溪湖南路——尤氨路——南钢北一路——南钢大道——顺外路——东升大道——解放东路——东华大道——石桥路——高新南大道——博览路——城南大道——广州路——井冈山大道——三店西路——抚河南路——何坊西路——九洲大道高架快速路——水厂路——沿江南大道——沿江中大道——沿江北大道——沿江被大道与江防厂前路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由以下路线围合而成的区域2：</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区域2（凤凰洲区）：</w:t>
            </w:r>
            <w:r>
              <w:rPr>
                <w:rFonts w:hint="eastAsia" w:ascii="仿宋" w:hAnsi="仿宋" w:eastAsia="仿宋" w:cs="仿宋"/>
                <w:color w:val="333333"/>
                <w:sz w:val="21"/>
                <w:szCs w:val="21"/>
              </w:rPr>
              <w:t>双港南路——双港东大街——双港东大街与定级边界交汇处——定级边界——庐山南大道——碟子湖大道——黄河路——黄河路与双港南路交汇处；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由以下路线围合而成的区域3：</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区域3（前湖片区）：</w:t>
            </w:r>
            <w:r>
              <w:rPr>
                <w:rFonts w:hint="eastAsia" w:ascii="仿宋" w:hAnsi="仿宋" w:eastAsia="仿宋" w:cs="仿宋"/>
                <w:color w:val="333333"/>
                <w:sz w:val="21"/>
                <w:szCs w:val="21"/>
              </w:rPr>
              <w:t>祥云大道——九龙大道——西站大街——枫生高速——祥云大道——祥云大道与定级边界交汇处——沿定级边界到与G320国道交汇处——G320国道——嘉言路——莲花路——北一路——瑞金路——岭北二路——赣江南大道——赣江南大道与祥云大道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由经济技术开发区及临空经济区界线----双港东大街----曰修路----志敏大道----桂苑大道----海棠北路----海棠南路围合而成区域。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由三级区域的边界与以下路线围合而成的区域：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昌东大道——艾溪湖北路——城东一路——瑶湖西大街——奥体南路——南钢西路——解放东路——昌东大道——昌南大道——真君路——云海路——沿江南大道——沿江中大道——沿江北大道——沿江北大道与昌东大道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由以下路线围合而成的区域2：</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区域2（扬子洲）：</w:t>
            </w:r>
            <w:r>
              <w:rPr>
                <w:rFonts w:hint="eastAsia" w:ascii="仿宋" w:hAnsi="仿宋" w:eastAsia="仿宋" w:cs="仿宋"/>
                <w:color w:val="333333"/>
                <w:sz w:val="21"/>
                <w:szCs w:val="21"/>
              </w:rPr>
              <w:t>前洲路——杨新路——望江路——与赣江合围而成的三角区域；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由以下路线围合而成的区域3：</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区域3（前湖片区）：</w:t>
            </w:r>
            <w:r>
              <w:rPr>
                <w:rFonts w:hint="eastAsia" w:ascii="仿宋" w:hAnsi="仿宋" w:eastAsia="仿宋" w:cs="仿宋"/>
                <w:color w:val="333333"/>
                <w:sz w:val="21"/>
                <w:szCs w:val="21"/>
              </w:rPr>
              <w:t>上饶大街——龙虎山大道——龙兴大街——百丈山路——G320国道——祥云大道——枫生高速——西站大街——九龙大道——祥云大道——赣江南大道——赣江南大道与上饶大街交汇处；</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由经济技术开发区及临空经济区界线----经济技术开发区及临空经济区三级区域的边界----空港大道---英雄大道----曰修路----南昌理工学院北侧----英雄一路----英雄大道围合而成区域。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由四级区域的边界与以下路线围合而成的区域：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区域1（昌东区域）：</w:t>
            </w:r>
            <w:r>
              <w:rPr>
                <w:rFonts w:hint="eastAsia" w:ascii="仿宋" w:hAnsi="仿宋" w:eastAsia="仿宋" w:cs="仿宋"/>
                <w:color w:val="333333"/>
                <w:sz w:val="21"/>
                <w:szCs w:val="21"/>
              </w:rPr>
              <w:t>昌东大道——昌东大道与定级边界交汇处——定级边界——261乡道——瑶湖边界——城东一路——艾溪湖北路——艾溪湖北路与昌东大道交汇处；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区域2（麻丘区域）：</w:t>
            </w:r>
            <w:r>
              <w:rPr>
                <w:rFonts w:hint="eastAsia" w:ascii="仿宋" w:hAnsi="仿宋" w:eastAsia="仿宋" w:cs="仿宋"/>
                <w:color w:val="333333"/>
                <w:sz w:val="21"/>
                <w:szCs w:val="21"/>
              </w:rPr>
              <w:t>紫阳东大道——瑶湖东大道——刘城街——刘城街与定级边界交汇处——定级边界——麻中街——瑶湖东大道——后杨家——杨桥村——定级边界与瑶湖合围处；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由以下路线围合而成的区域3：</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区域3（昌南片区）：</w:t>
            </w:r>
            <w:r>
              <w:rPr>
                <w:rFonts w:hint="eastAsia" w:ascii="仿宋" w:hAnsi="仿宋" w:eastAsia="仿宋" w:cs="仿宋"/>
                <w:color w:val="333333"/>
                <w:sz w:val="21"/>
                <w:szCs w:val="21"/>
              </w:rPr>
              <w:t>瑶湖西大街——奥体南路——南钢西路——解放东路——昌东大道——昌南大道——真君路——云海路——沿江南大道——南侧定级边界——瑶湖南部边界——艾溪湖南路——艾溪湖南路与瑶湖西大街交汇处；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由以下路线围合而成的区域4：</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区域4（扬子洲片区）：</w:t>
            </w:r>
            <w:r>
              <w:rPr>
                <w:rFonts w:hint="eastAsia" w:ascii="仿宋" w:hAnsi="仿宋" w:eastAsia="仿宋" w:cs="仿宋"/>
                <w:color w:val="333333"/>
                <w:sz w:val="21"/>
                <w:szCs w:val="21"/>
              </w:rPr>
              <w:t>雷神坛路以南——前洲路、杨新路、望江路以北——赣江两侧支流合围处。</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由以下路线围合而成的区域5：</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区域5（九龙湖片区）：</w:t>
            </w:r>
            <w:r>
              <w:rPr>
                <w:rFonts w:hint="eastAsia" w:ascii="仿宋" w:hAnsi="仿宋" w:eastAsia="仿宋" w:cs="仿宋"/>
                <w:color w:val="333333"/>
                <w:sz w:val="21"/>
                <w:szCs w:val="21"/>
              </w:rPr>
              <w:t>X049璜北段北端——九龙大道——龙虎山大道南段尽头——南昌绕城高速——G320国道——百丈山路——龙兴大街——龙虎山大道——上饶大街——赣江南大道——赣江南大道与X049璜北段北端交汇处；</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区域6（经济技术开发区及临空经济区片区）：</w:t>
            </w:r>
            <w:r>
              <w:rPr>
                <w:rFonts w:hint="eastAsia" w:ascii="仿宋" w:hAnsi="仿宋" w:eastAsia="仿宋" w:cs="仿宋"/>
                <w:color w:val="333333"/>
                <w:sz w:val="21"/>
                <w:szCs w:val="21"/>
              </w:rPr>
              <w:t>由经济技术开发区及临空经济区界线----经济技术开发区及临空经济区四级区域的边界----福银高速---铁路----金山大道----七里岗大街围合而成区域。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1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六级</w:t>
            </w:r>
          </w:p>
        </w:tc>
        <w:tc>
          <w:tcPr>
            <w:tcW w:w="854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区域1（经济技术开发区及临空经济区片区）：</w:t>
            </w:r>
            <w:r>
              <w:rPr>
                <w:rFonts w:hint="eastAsia" w:ascii="仿宋" w:hAnsi="仿宋" w:eastAsia="仿宋" w:cs="仿宋"/>
                <w:color w:val="333333"/>
                <w:sz w:val="21"/>
                <w:szCs w:val="21"/>
              </w:rPr>
              <w:t>经济技术开发区及临空经济区五级区域的边界以外更新范围以内。</w:t>
            </w:r>
          </w:p>
        </w:tc>
      </w:tr>
    </w:tbl>
    <w:p>
      <w:pPr>
        <w:pStyle w:val="4"/>
        <w:keepNext w:val="0"/>
        <w:keepLines w:val="0"/>
        <w:widowControl/>
        <w:suppressLineNumbers w:val="0"/>
        <w:spacing w:before="0" w:beforeAutospacing="0" w:after="0" w:afterAutospacing="0" w:line="440" w:lineRule="atLeast"/>
        <w:ind w:left="480" w:right="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480" w:right="0"/>
        <w:jc w:val="both"/>
        <w:rPr>
          <w:rFonts w:hint="default" w:ascii="Calibri" w:hAnsi="Calibri" w:cs="Calibri"/>
          <w:sz w:val="21"/>
          <w:szCs w:val="21"/>
        </w:rPr>
      </w:pPr>
      <w:r>
        <w:rPr>
          <w:rFonts w:hint="eastAsia" w:ascii="仿宋" w:hAnsi="仿宋" w:eastAsia="仿宋" w:cs="仿宋"/>
          <w:color w:val="333333"/>
          <w:sz w:val="24"/>
          <w:szCs w:val="24"/>
        </w:rPr>
        <w:t>（5）工业用地级别界线与范围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表1-5  工业用地级别界线与范围</w:t>
      </w:r>
    </w:p>
    <w:tbl>
      <w:tblPr>
        <w:tblW w:w="952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03"/>
        <w:gridCol w:w="86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14" w:hRule="atLeast"/>
          <w:tblHeader/>
          <w:jc w:val="center"/>
        </w:trPr>
        <w:tc>
          <w:tcPr>
            <w:tcW w:w="90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6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工业用地各级土地范围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2"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主要由以下路线围合而成的区域：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区域1（青山湖-艾溪湖区片区）：</w:t>
            </w:r>
            <w:r>
              <w:rPr>
                <w:rFonts w:hint="eastAsia" w:ascii="仿宋" w:hAnsi="仿宋" w:eastAsia="仿宋" w:cs="仿宋"/>
                <w:color w:val="333333"/>
                <w:sz w:val="21"/>
                <w:szCs w:val="21"/>
              </w:rPr>
              <w:t>由“沿江北大道——高新大道——东元路——艾溪湖北路——艾溪湖西路——北京东路——青山湖大道——沿江北大道”围合而成的区域。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区域2（青云谱区片区）：</w:t>
            </w:r>
            <w:r>
              <w:rPr>
                <w:rFonts w:hint="eastAsia" w:ascii="仿宋" w:hAnsi="仿宋" w:eastAsia="仿宋" w:cs="仿宋"/>
                <w:color w:val="333333"/>
                <w:sz w:val="21"/>
                <w:szCs w:val="21"/>
              </w:rPr>
              <w:t>由“解放西路——解放东路——昌东大道——昌南大道——南莲路——井冈山大道——洪都南大道——解放西路” 围合而成的区域。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28"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由一级区域的边界与以下路线围合而成的区域：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区域1（红谷滩片区）：</w:t>
            </w:r>
            <w:r>
              <w:rPr>
                <w:rFonts w:hint="eastAsia" w:ascii="仿宋" w:hAnsi="仿宋" w:eastAsia="仿宋" w:cs="仿宋"/>
                <w:color w:val="333333"/>
                <w:sz w:val="21"/>
                <w:szCs w:val="21"/>
              </w:rPr>
              <w:t>由“一环线——赣江西侧——南斯友好路——枫生高速——黄家湖东路——庐山南大道——玉屏东大街——一环线”围合而成的区域。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区域2（主城区中部片区）：</w:t>
            </w:r>
            <w:r>
              <w:rPr>
                <w:rFonts w:hint="eastAsia" w:ascii="仿宋" w:hAnsi="仿宋" w:eastAsia="仿宋" w:cs="仿宋"/>
                <w:color w:val="333333"/>
                <w:sz w:val="21"/>
                <w:szCs w:val="21"/>
              </w:rPr>
              <w:t>由“沿江北大道——富大有路——昌东大道——艾溪湖北路——尤氨路——货场路——天祥大道——志强路——定级范围南部边界——金沙大道——施尧路——抚河南路——抚河中路——抚河北路——沿江北大道——二七北路——阳明东路——湖滨东路——江纺花园路——江纺东二路——江纺东三路——沿江北大道”围合而成的，除一级范围以外的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28"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由二级区域的边界与以下路线围合而成的区域：</w:t>
            </w:r>
          </w:p>
          <w:p>
            <w:pPr>
              <w:pStyle w:val="4"/>
              <w:keepNext w:val="0"/>
              <w:keepLines w:val="0"/>
              <w:widowControl/>
              <w:suppressLineNumbers w:val="0"/>
              <w:spacing w:before="0" w:beforeAutospacing="0" w:after="0" w:afterAutospacing="0" w:line="28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区域1（前胡—象湖片区）：</w:t>
            </w:r>
            <w:r>
              <w:rPr>
                <w:rFonts w:hint="eastAsia" w:ascii="仿宋" w:hAnsi="仿宋" w:eastAsia="仿宋" w:cs="仿宋"/>
                <w:color w:val="333333"/>
                <w:sz w:val="21"/>
                <w:szCs w:val="21"/>
              </w:rPr>
              <w:t>由“定级西侧边界——枫生高速——南斯友好路——南昌大桥——沿江中大道——抚河——象湖西侧——昌南大道——祥云大道——定级西侧边界” 围合而成的区域；</w:t>
            </w:r>
          </w:p>
          <w:p>
            <w:pPr>
              <w:pStyle w:val="4"/>
              <w:keepNext w:val="0"/>
              <w:keepLines w:val="0"/>
              <w:widowControl/>
              <w:suppressLineNumbers w:val="0"/>
              <w:spacing w:before="0" w:beforeAutospacing="0" w:after="0" w:afterAutospacing="0" w:line="28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区域2（青山湖片区）：</w:t>
            </w:r>
            <w:r>
              <w:rPr>
                <w:rFonts w:hint="eastAsia" w:ascii="仿宋" w:hAnsi="仿宋" w:eastAsia="仿宋" w:cs="仿宋"/>
                <w:color w:val="333333"/>
                <w:sz w:val="21"/>
                <w:szCs w:val="21"/>
              </w:rPr>
              <w:t>“沿江北大道——江纺东三路——江纺花园路——青山湖西侧——阳明东路——二七北路——沿江北大道” 围合而成的区域；</w:t>
            </w:r>
          </w:p>
          <w:p>
            <w:pPr>
              <w:pStyle w:val="4"/>
              <w:keepNext w:val="0"/>
              <w:keepLines w:val="0"/>
              <w:widowControl/>
              <w:suppressLineNumbers w:val="0"/>
              <w:spacing w:before="0" w:beforeAutospacing="0" w:after="0" w:afterAutospacing="0" w:line="28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区域3（瑶湖片区）：</w:t>
            </w:r>
            <w:r>
              <w:rPr>
                <w:rFonts w:hint="eastAsia" w:ascii="仿宋" w:hAnsi="仿宋" w:eastAsia="仿宋" w:cs="仿宋"/>
                <w:color w:val="333333"/>
                <w:sz w:val="21"/>
                <w:szCs w:val="21"/>
              </w:rPr>
              <w:t>“富大有路——261乡道西南侧——瑶湖西大街——天祥大道——定级范围南部边界——二级范围边界”围合而成的区域；</w:t>
            </w:r>
          </w:p>
          <w:p>
            <w:pPr>
              <w:pStyle w:val="4"/>
              <w:keepNext w:val="0"/>
              <w:keepLines w:val="0"/>
              <w:widowControl/>
              <w:suppressLineNumbers w:val="0"/>
              <w:spacing w:before="0" w:beforeAutospacing="0" w:after="0" w:afterAutospacing="0" w:line="28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由经济技术开发区及临空经济区界线--------空港大道----英雄大道----铁路----昌西大道围合而成区域。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24"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由三级区域的边界与以下路线围合而成的区域：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区域1（扬子洲片区）：</w:t>
            </w:r>
            <w:r>
              <w:rPr>
                <w:rFonts w:hint="eastAsia" w:ascii="仿宋" w:hAnsi="仿宋" w:eastAsia="仿宋" w:cs="仿宋"/>
                <w:color w:val="333333"/>
                <w:sz w:val="21"/>
                <w:szCs w:val="21"/>
              </w:rPr>
              <w:t>由扬子洲组成的区域；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区域2（瑶湖片区）：</w:t>
            </w:r>
            <w:r>
              <w:rPr>
                <w:rFonts w:hint="eastAsia" w:ascii="仿宋" w:hAnsi="仿宋" w:eastAsia="仿宋" w:cs="仿宋"/>
                <w:color w:val="333333"/>
                <w:sz w:val="21"/>
                <w:szCs w:val="21"/>
              </w:rPr>
              <w:t>由“富大有路——瑶湖西岸——定级边界——瑶湖西大街——三级区域边界” 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区域3（九龙湖片区）：</w:t>
            </w:r>
            <w:r>
              <w:rPr>
                <w:rFonts w:hint="eastAsia" w:ascii="仿宋" w:hAnsi="仿宋" w:eastAsia="仿宋" w:cs="仿宋"/>
                <w:color w:val="333333"/>
                <w:sz w:val="21"/>
                <w:szCs w:val="21"/>
              </w:rPr>
              <w:t>“祥云大道——赣江西侧——南昌绕城高速——G320国道——祥云大道” 围合而成的区域；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区域4（经济技术开发区及临空经济区片区）：</w:t>
            </w:r>
            <w:r>
              <w:rPr>
                <w:rFonts w:hint="eastAsia" w:ascii="仿宋" w:hAnsi="仿宋" w:eastAsia="仿宋" w:cs="仿宋"/>
                <w:color w:val="333333"/>
                <w:sz w:val="21"/>
                <w:szCs w:val="21"/>
              </w:rPr>
              <w:t>由经济技术开发区及临空经济区界线----经济技术开发区及临空经济区三级区域的边界----儒乐湖大街围合而成区域。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18"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由四级区域的边界与以下路线围合而成的区域：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区域1（瑶湖片区）：瑶湖片区东侧：</w:t>
            </w:r>
            <w:r>
              <w:rPr>
                <w:rFonts w:hint="eastAsia" w:ascii="仿宋" w:hAnsi="仿宋" w:eastAsia="仿宋" w:cs="仿宋"/>
                <w:color w:val="333333"/>
                <w:sz w:val="21"/>
                <w:szCs w:val="21"/>
              </w:rPr>
              <w:t>瑶湖以北、以东、以南除六级以外的区域。</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区域2（经济技术开发区及临空经济区片区）：</w:t>
            </w:r>
            <w:r>
              <w:rPr>
                <w:rFonts w:hint="eastAsia" w:ascii="仿宋" w:hAnsi="仿宋" w:eastAsia="仿宋" w:cs="仿宋"/>
                <w:color w:val="333333"/>
                <w:sz w:val="21"/>
                <w:szCs w:val="21"/>
              </w:rPr>
              <w:t>由经济技术开发区及临空经济区界线----经济技术开发区及临空经济区四级区域的边界----福银高速---铁路----金山大道----七里岗大街围合而成区域。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9" w:hRule="atLeast"/>
          <w:jc w:val="center"/>
        </w:trPr>
        <w:tc>
          <w:tcPr>
            <w:tcW w:w="90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8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六级</w:t>
            </w:r>
          </w:p>
        </w:tc>
        <w:tc>
          <w:tcPr>
            <w:tcW w:w="86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由五级区域的边界与以下路线围合而成的区域：</w:t>
            </w:r>
          </w:p>
          <w:p>
            <w:pPr>
              <w:pStyle w:val="4"/>
              <w:keepNext w:val="0"/>
              <w:keepLines w:val="0"/>
              <w:widowControl/>
              <w:suppressLineNumbers w:val="0"/>
              <w:spacing w:before="0" w:beforeAutospacing="0" w:after="0" w:afterAutospacing="0" w:line="28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区域1（瑶湖片区）：</w:t>
            </w:r>
            <w:r>
              <w:rPr>
                <w:rFonts w:hint="eastAsia" w:ascii="仿宋" w:hAnsi="仿宋" w:eastAsia="仿宋" w:cs="仿宋"/>
                <w:color w:val="333333"/>
                <w:sz w:val="21"/>
                <w:szCs w:val="21"/>
              </w:rPr>
              <w:t>由定级范围边界最东端与五级范围边界围合而成的区域；</w:t>
            </w:r>
          </w:p>
          <w:p>
            <w:pPr>
              <w:pStyle w:val="4"/>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区域2（经济技术开发区及临空经济区片区）：</w:t>
            </w:r>
            <w:r>
              <w:rPr>
                <w:rFonts w:hint="eastAsia" w:ascii="仿宋" w:hAnsi="仿宋" w:eastAsia="仿宋" w:cs="仿宋"/>
                <w:color w:val="333333"/>
                <w:sz w:val="21"/>
                <w:szCs w:val="21"/>
              </w:rPr>
              <w:t>由经济技术开发区及临空经济区五级界线以外更新范围以内。</w:t>
            </w:r>
          </w:p>
        </w:tc>
      </w:tr>
    </w:tbl>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480" w:right="0"/>
        <w:jc w:val="both"/>
        <w:rPr>
          <w:rFonts w:hint="default" w:ascii="Calibri" w:hAnsi="Calibri" w:cs="Calibri"/>
          <w:sz w:val="21"/>
          <w:szCs w:val="21"/>
        </w:rPr>
      </w:pPr>
      <w:r>
        <w:rPr>
          <w:rFonts w:hint="eastAsia" w:ascii="仿宋" w:hAnsi="仿宋" w:eastAsia="仿宋" w:cs="仿宋"/>
          <w:color w:val="333333"/>
          <w:sz w:val="24"/>
          <w:szCs w:val="24"/>
        </w:rPr>
        <w:t>（6）公共服务用地各级别界线与范围</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xml:space="preserve">表1-6  公共服务用地级别界线与范围 </w:t>
      </w:r>
    </w:p>
    <w:tbl>
      <w:tblPr>
        <w:tblW w:w="970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3"/>
        <w:gridCol w:w="8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1" w:hRule="atLeast"/>
          <w:tblHeader/>
          <w:jc w:val="center"/>
        </w:trPr>
        <w:tc>
          <w:tcPr>
            <w:tcW w:w="94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级别</w:t>
            </w:r>
          </w:p>
        </w:tc>
        <w:tc>
          <w:tcPr>
            <w:tcW w:w="875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b/>
                <w:color w:val="333333"/>
                <w:sz w:val="21"/>
                <w:szCs w:val="21"/>
              </w:rPr>
              <w:t>公共管理与公共服务用地定级各级土地范围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71" w:hRule="atLeast"/>
          <w:jc w:val="center"/>
        </w:trPr>
        <w:tc>
          <w:tcPr>
            <w:tcW w:w="9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一级</w:t>
            </w:r>
          </w:p>
        </w:tc>
        <w:tc>
          <w:tcPr>
            <w:tcW w:w="87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由以下路线围合而成的区域：</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阳明路——阳明东路——洪都北大道——洪都中大道——洛阳路——站前西路——抚河中路——抚河北路——阳明路；</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区域2（红谷滩片区）：</w:t>
            </w:r>
            <w:r>
              <w:rPr>
                <w:rFonts w:hint="eastAsia" w:ascii="仿宋" w:hAnsi="仿宋" w:eastAsia="仿宋" w:cs="仿宋"/>
                <w:color w:val="333333"/>
                <w:sz w:val="21"/>
                <w:szCs w:val="21"/>
              </w:rPr>
              <w:t>翠苑路——丰和中大道——庐山南大道——赣江北大道——赣江中大道——翠苑路。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980" w:hRule="atLeast"/>
          <w:jc w:val="center"/>
        </w:trPr>
        <w:tc>
          <w:tcPr>
            <w:tcW w:w="9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二级</w:t>
            </w:r>
          </w:p>
        </w:tc>
        <w:tc>
          <w:tcPr>
            <w:tcW w:w="87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由一级区域的边界与以下线路围合而成的区域：</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区域1（老城区片区）：</w:t>
            </w:r>
            <w:r>
              <w:rPr>
                <w:rFonts w:hint="eastAsia" w:ascii="仿宋" w:hAnsi="仿宋" w:eastAsia="仿宋" w:cs="仿宋"/>
                <w:color w:val="333333"/>
                <w:sz w:val="21"/>
                <w:szCs w:val="21"/>
              </w:rPr>
              <w:t>沿江北大道——高新大道——青文二路——艾溪湖沿岸——京安路——高新南大道——新溪桥路——博文路——广州——象湖沿岸—站前西路——洪都北大道——阳明东路——阳明路——沿江北大道；</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区域2（西湖片区）：</w:t>
            </w:r>
            <w:r>
              <w:rPr>
                <w:rFonts w:hint="eastAsia" w:ascii="仿宋" w:hAnsi="仿宋" w:eastAsia="仿宋" w:cs="仿宋"/>
                <w:color w:val="333333"/>
                <w:sz w:val="21"/>
                <w:szCs w:val="21"/>
              </w:rPr>
              <w:t>沿江中大道——民德西路——新洲路——打缆洲路——桃苑东路——九洲大道高架快速路——象湖沿岸——昌南大道——沿江南大道——沿江中大道；</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区域3（红谷滩凤凰洲片区）：</w:t>
            </w:r>
            <w:r>
              <w:rPr>
                <w:rFonts w:hint="eastAsia" w:ascii="仿宋" w:hAnsi="仿宋" w:eastAsia="仿宋" w:cs="仿宋"/>
                <w:color w:val="333333"/>
                <w:sz w:val="21"/>
                <w:szCs w:val="21"/>
              </w:rPr>
              <w:t>碟子湖大道——黄河路——赣江北大道——丰和中大道——翠苑路——南斯友好路——枫生高速——幸临路——碟子湖大道。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20" w:hRule="atLeast"/>
          <w:jc w:val="center"/>
        </w:trPr>
        <w:tc>
          <w:tcPr>
            <w:tcW w:w="9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三级</w:t>
            </w:r>
          </w:p>
        </w:tc>
        <w:tc>
          <w:tcPr>
            <w:tcW w:w="87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由二级区域的边界与以下路线围合而成的区域：</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区域1（青云谱片区）：</w:t>
            </w:r>
            <w:r>
              <w:rPr>
                <w:rFonts w:hint="eastAsia" w:ascii="仿宋" w:hAnsi="仿宋" w:eastAsia="仿宋" w:cs="仿宋"/>
                <w:color w:val="333333"/>
                <w:sz w:val="21"/>
                <w:szCs w:val="21"/>
              </w:rPr>
              <w:t>新溪桥路——高新南大道——广州路——金鹰路——青云谱南路——昌南大道——施尧路——江铃西四路——博文路——新溪桥路；</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区域2（青山湖片区）：</w:t>
            </w:r>
            <w:r>
              <w:rPr>
                <w:rFonts w:hint="eastAsia" w:ascii="仿宋" w:hAnsi="仿宋" w:eastAsia="仿宋" w:cs="仿宋"/>
                <w:color w:val="333333"/>
                <w:sz w:val="21"/>
                <w:szCs w:val="21"/>
              </w:rPr>
              <w:t xml:space="preserve">沿江北大道一艾溪路——艾溪湖北路——艾溪湖二路——天祥大道——艾溪湖北路——南钢西二路——解放东路——石桥路——高新南大道——京安路——艾溪湖沿岸——青文二路——高新大道沿江北大道； </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区域3（前湖片区）：</w:t>
            </w:r>
            <w:r>
              <w:rPr>
                <w:rFonts w:hint="eastAsia" w:ascii="仿宋" w:hAnsi="仿宋" w:eastAsia="仿宋" w:cs="仿宋"/>
                <w:color w:val="333333"/>
                <w:sz w:val="21"/>
                <w:szCs w:val="21"/>
              </w:rPr>
              <w:t>南斯友好路 ——赣江沿岸——城运路——三清山大道——石钟山路——枫生高速——南斯友好路；</w:t>
            </w:r>
          </w:p>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区域4（青山湖片区）：</w:t>
            </w:r>
            <w:r>
              <w:rPr>
                <w:rFonts w:hint="eastAsia" w:ascii="仿宋" w:hAnsi="仿宋" w:eastAsia="仿宋" w:cs="仿宋"/>
                <w:color w:val="333333"/>
                <w:sz w:val="21"/>
                <w:szCs w:val="21"/>
              </w:rPr>
              <w:t>碟子湖大道——幸临路——会展路——黄家湖东——庐山南大道——双港东大街——赣江沿岸——黄河路——碟子湖大道；</w:t>
            </w:r>
          </w:p>
          <w:p>
            <w:pPr>
              <w:pStyle w:val="4"/>
              <w:keepNext w:val="0"/>
              <w:keepLines w:val="0"/>
              <w:widowControl/>
              <w:suppressLineNumbers w:val="0"/>
              <w:spacing w:before="0" w:beforeAutospacing="0" w:after="0" w:afterAutospacing="0" w:line="260" w:lineRule="atLeast"/>
              <w:ind w:left="0" w:right="0"/>
              <w:jc w:val="both"/>
              <w:rPr>
                <w:rFonts w:hint="default" w:ascii="Calibri" w:hAnsi="Calibri" w:cs="Calibri"/>
                <w:sz w:val="21"/>
                <w:szCs w:val="21"/>
              </w:rPr>
            </w:pPr>
            <w:r>
              <w:rPr>
                <w:rFonts w:hint="eastAsia" w:ascii="仿宋" w:hAnsi="仿宋" w:eastAsia="仿宋" w:cs="仿宋"/>
                <w:b/>
                <w:color w:val="333333"/>
                <w:sz w:val="21"/>
                <w:szCs w:val="21"/>
              </w:rPr>
              <w:t>区域5（经济技术开发区及临空经济区片区）：</w:t>
            </w:r>
            <w:r>
              <w:rPr>
                <w:rFonts w:hint="eastAsia" w:ascii="仿宋" w:hAnsi="仿宋" w:eastAsia="仿宋" w:cs="仿宋"/>
                <w:color w:val="333333"/>
                <w:sz w:val="21"/>
                <w:szCs w:val="21"/>
              </w:rPr>
              <w:t>由经济技术开发区及临空经济区界线----经济技术开发区及临空经济区----双港东大街----曰修路----梅林大街----庐山中大道----铁路----昌西大道围合而成区域。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00" w:hRule="atLeast"/>
          <w:jc w:val="center"/>
        </w:trPr>
        <w:tc>
          <w:tcPr>
            <w:tcW w:w="9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四级</w:t>
            </w:r>
          </w:p>
        </w:tc>
        <w:tc>
          <w:tcPr>
            <w:tcW w:w="87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b/>
                <w:color w:val="333333"/>
                <w:sz w:val="21"/>
                <w:szCs w:val="21"/>
              </w:rPr>
              <w:t>区域1（经开片区）：</w:t>
            </w:r>
            <w:r>
              <w:rPr>
                <w:rFonts w:hint="eastAsia" w:ascii="仿宋" w:hAnsi="仿宋" w:eastAsia="仿宋" w:cs="仿宋"/>
                <w:color w:val="333333"/>
                <w:sz w:val="21"/>
                <w:szCs w:val="21"/>
              </w:rPr>
              <w:t>定级界线——枫生大道——扬帆西路——城运路——定级界线；</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b/>
                <w:color w:val="333333"/>
                <w:sz w:val="21"/>
                <w:szCs w:val="21"/>
              </w:rPr>
              <w:t>区域2（瑶湖片区）：</w:t>
            </w:r>
            <w:r>
              <w:rPr>
                <w:rFonts w:hint="eastAsia" w:ascii="仿宋" w:hAnsi="仿宋" w:eastAsia="仿宋" w:cs="仿宋"/>
                <w:color w:val="333333"/>
                <w:sz w:val="21"/>
                <w:szCs w:val="21"/>
              </w:rPr>
              <w:t>南昌绕城高速——瑶湖沿岸——慈母路——胡家路——朱桥东路——青云谱南路——金鹰路——广州路——高新南大道路——天祥大道——慈母路——艾溪湖而路——艾溪湖北路——艾溪路——沿江北大道——南昌绕城高速；</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b/>
                <w:color w:val="333333"/>
                <w:sz w:val="21"/>
                <w:szCs w:val="21"/>
              </w:rPr>
              <w:t>区域3（经济技术开发区及临空经济区片区）：</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1"/>
                <w:szCs w:val="21"/>
              </w:rPr>
              <w:t>由经济技术开发区及临空经济区界线----经济技术开发区及临空经济区三级区域的边界----儒乐湖大街----铁路围合而成区域；</w:t>
            </w:r>
          </w:p>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color w:val="333333"/>
                <w:sz w:val="21"/>
                <w:szCs w:val="21"/>
              </w:rPr>
              <w:t>由经济技术开发区及临空经济区界线----空港大道----铁路----金山大道----七里岗大街围合而成区域。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94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五级</w:t>
            </w:r>
          </w:p>
        </w:tc>
        <w:tc>
          <w:tcPr>
            <w:tcW w:w="87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00" w:lineRule="atLeast"/>
              <w:ind w:left="0" w:right="0"/>
              <w:jc w:val="left"/>
              <w:rPr>
                <w:rFonts w:hint="default" w:ascii="Calibri" w:hAnsi="Calibri" w:cs="Calibri"/>
                <w:sz w:val="21"/>
                <w:szCs w:val="21"/>
              </w:rPr>
            </w:pPr>
            <w:r>
              <w:rPr>
                <w:rFonts w:hint="eastAsia" w:ascii="仿宋" w:hAnsi="仿宋" w:eastAsia="仿宋" w:cs="仿宋"/>
                <w:color w:val="333333"/>
                <w:sz w:val="21"/>
                <w:szCs w:val="21"/>
              </w:rPr>
              <w:t>由四级区域的边界与定级边界围合而成的区域。</w:t>
            </w:r>
          </w:p>
        </w:tc>
      </w:tr>
    </w:tbl>
    <w:p>
      <w:pPr>
        <w:pStyle w:val="4"/>
        <w:keepNext w:val="0"/>
        <w:keepLines w:val="0"/>
        <w:widowControl/>
        <w:suppressLineNumbers w:val="0"/>
        <w:spacing w:before="0" w:beforeAutospacing="0" w:after="0" w:afterAutospacing="0" w:line="440" w:lineRule="atLeast"/>
        <w:ind w:left="0" w:right="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3、土地级别界线应用说明</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对于以道路作为级别界线的土地级别划分，在该道路两侧中，级别更低的另一侧直接临该道路的宗地，按该道路两侧中更高的级别作为其土地级别。</w:t>
      </w:r>
    </w:p>
    <w:p>
      <w:pPr>
        <w:pStyle w:val="3"/>
        <w:keepNext w:val="0"/>
        <w:keepLines w:val="0"/>
        <w:widowControl/>
        <w:suppressLineNumbers w:val="0"/>
        <w:spacing w:before="0" w:beforeAutospacing="0" w:after="0" w:afterAutospacing="0"/>
        <w:ind w:left="0" w:right="0"/>
        <w:jc w:val="left"/>
      </w:pPr>
      <w:r>
        <w:rPr>
          <w:rFonts w:hint="eastAsia" w:ascii="仿宋" w:hAnsi="仿宋" w:eastAsia="仿宋" w:cs="仿宋"/>
          <w:color w:val="333333"/>
        </w:rPr>
        <w:t>二、基准地价内涵与评估结果</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1、商服用地基准地价内涵与评估结果</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参照《城镇土地估价规程（GBT18508-2014）》对基准地价的定义，基准地价内涵包括土地权利类型、土地用途、期日、土地开发程度及容积率等开发建设条件。根据南昌市的实际情况，对商服用地基准地价内涵界定如下：</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①价值构成：包括政府在土地上支付的土地取得成本、城市基础设施配套建设费、土地开发成本、管理费、利息和应取得的土地增值收益等；</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②估价基准日：2020年7月1日；</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③样点区位条件：级别内的平均条件——级别平均单元总分所对应的区位条件；</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④样点个别因素状况：面积适中，形状规则，地形平坦，地质条件一般，土地使用权年限40年，容积率2.0，无特殊的视角景观，开发程度“六通一平”。</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商服用地基准地价评估适用的土地利用类型为全国《土地利用现状分类》（GB/T21010-2017）二级分类中除商务金融用地和旅馆用地以外的商服用地。</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（2）商服用地基准地价评估结果</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表2-1 商服用地基准地价结果表</w:t>
      </w:r>
    </w:p>
    <w:tbl>
      <w:tblPr>
        <w:tblW w:w="1075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567"/>
        <w:gridCol w:w="1156"/>
        <w:gridCol w:w="1013"/>
        <w:gridCol w:w="1011"/>
        <w:gridCol w:w="904"/>
        <w:gridCol w:w="1078"/>
        <w:gridCol w:w="1013"/>
        <w:gridCol w:w="10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blHeader/>
          <w:jc w:val="center"/>
        </w:trPr>
        <w:tc>
          <w:tcPr>
            <w:tcW w:w="356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7185" w:type="dxa"/>
            <w:gridSpan w:val="7"/>
            <w:tcBorders>
              <w:top w:val="single" w:color="auto" w:sz="8" w:space="0"/>
              <w:left w:val="nil"/>
              <w:bottom w:val="single" w:color="auto" w:sz="8" w:space="0"/>
              <w:right w:val="single" w:color="auto" w:sz="8" w:space="0"/>
            </w:tcBorders>
            <w:shd w:val="clear"/>
            <w:tcMar>
              <w:left w:w="108" w:type="dxa"/>
              <w:right w:w="108" w:type="dxa"/>
            </w:tcMar>
            <w:vAlign w:val="top"/>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全国《土地利用现状分类》（GB/T21010-2017）二级分类中</w:t>
            </w:r>
          </w:p>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除商务金融用地和旅馆用地以外的商服用地。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356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商服用地基准地价专有基准条件</w:t>
            </w:r>
          </w:p>
        </w:tc>
        <w:tc>
          <w:tcPr>
            <w:tcW w:w="7185" w:type="dxa"/>
            <w:gridSpan w:val="7"/>
            <w:tcBorders>
              <w:top w:val="nil"/>
              <w:left w:val="nil"/>
              <w:bottom w:val="single" w:color="auto" w:sz="8" w:space="0"/>
              <w:right w:val="single" w:color="auto" w:sz="8" w:space="0"/>
            </w:tcBorders>
            <w:shd w:val="clear"/>
            <w:tcMar>
              <w:left w:w="108" w:type="dxa"/>
              <w:right w:w="108" w:type="dxa"/>
            </w:tcMar>
            <w:vAlign w:val="top"/>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土地使用权年限40年，容积率2.0，无特殊的视角景观，</w:t>
            </w:r>
          </w:p>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开发程度“六通一平”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6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10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107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Ⅵ级</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000000"/>
                <w:sz w:val="21"/>
                <w:szCs w:val="21"/>
              </w:rPr>
              <w:t>Ⅶ级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6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8260</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6531</w:t>
            </w:r>
          </w:p>
        </w:tc>
        <w:tc>
          <w:tcPr>
            <w:tcW w:w="10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5149</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4005</w:t>
            </w:r>
          </w:p>
        </w:tc>
        <w:tc>
          <w:tcPr>
            <w:tcW w:w="107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2876</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1733</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000000"/>
                <w:sz w:val="21"/>
                <w:szCs w:val="21"/>
              </w:rPr>
              <w:t>1475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6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550.67</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435.40</w:t>
            </w:r>
          </w:p>
        </w:tc>
        <w:tc>
          <w:tcPr>
            <w:tcW w:w="10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343.27</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267.00</w:t>
            </w:r>
          </w:p>
        </w:tc>
        <w:tc>
          <w:tcPr>
            <w:tcW w:w="107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191.73</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115.53</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000000"/>
                <w:sz w:val="21"/>
                <w:szCs w:val="21"/>
              </w:rPr>
              <w:t>98.33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6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级别面积（平方公里）</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13.07</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35.11</w:t>
            </w:r>
          </w:p>
        </w:tc>
        <w:tc>
          <w:tcPr>
            <w:tcW w:w="10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82.20</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162.95</w:t>
            </w:r>
          </w:p>
        </w:tc>
        <w:tc>
          <w:tcPr>
            <w:tcW w:w="107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139.77</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153.48</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color w:val="333333"/>
                <w:sz w:val="21"/>
                <w:szCs w:val="21"/>
              </w:rPr>
              <w:t>42.67</w:t>
            </w:r>
          </w:p>
        </w:tc>
      </w:tr>
    </w:tbl>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2、商务金融、旅馆用地基准地价内涵与评估结果</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（1）商务金融、旅馆用地基准地价内涵如下：</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①价值构成：包括政府在土地上支付的土地取得成本、城市基础设施配套建设费、土地开发成本、管理费、利息和应取得的土地增值收益等；</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 xml:space="preserve">②估价基准日：2020年7月1日；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③样点区位条件：级别内的平均条件——级别平均单元总分所对应的区位条件</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④样点个别因素状况：面积适中，形状规则，地形平坦，地质条件一般，土地使用权年限40年，容积率3.0，开发程度“六通一平”。</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商务金融、旅馆用地基准地价评估适用的土地利用类型为全国《土地利用现状分类》（GB/T21010-2017）二级分类中的商务金融用地和旅馆用地，此处简称“商务金融、旅馆用地”。</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（2）商务金融用地基准地价评估结果</w:t>
      </w:r>
    </w:p>
    <w:p>
      <w:pPr>
        <w:pStyle w:val="4"/>
        <w:keepNext w:val="0"/>
        <w:keepLines w:val="0"/>
        <w:widowControl/>
        <w:suppressLineNumbers w:val="0"/>
        <w:spacing w:before="0" w:beforeAutospacing="0" w:after="0" w:afterAutospacing="0" w:line="440" w:lineRule="atLeast"/>
        <w:ind w:left="0" w:right="0" w:firstLine="482"/>
        <w:jc w:val="center"/>
        <w:rPr>
          <w:rFonts w:hint="default" w:ascii="Calibri" w:hAnsi="Calibri" w:cs="Calibri"/>
          <w:sz w:val="21"/>
          <w:szCs w:val="21"/>
        </w:rPr>
      </w:pPr>
      <w:r>
        <w:rPr>
          <w:rFonts w:hint="eastAsia" w:ascii="仿宋" w:hAnsi="仿宋" w:eastAsia="仿宋" w:cs="仿宋"/>
          <w:b/>
          <w:color w:val="333333"/>
          <w:sz w:val="24"/>
          <w:szCs w:val="24"/>
        </w:rPr>
        <w:t>表2-2 商务金融、旅馆用地基准地价结果表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599"/>
        <w:gridCol w:w="896"/>
        <w:gridCol w:w="1021"/>
        <w:gridCol w:w="968"/>
        <w:gridCol w:w="951"/>
        <w:gridCol w:w="875"/>
        <w:gridCol w:w="11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59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5861"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全国《土地利用现状分类》（GB/T21010-2017）二级分类中的商务金融、旅馆用地（053）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9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商务金融、旅馆用地</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基准地价专有基准条件</w:t>
            </w:r>
          </w:p>
        </w:tc>
        <w:tc>
          <w:tcPr>
            <w:tcW w:w="5861" w:type="dxa"/>
            <w:gridSpan w:val="6"/>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土地使用权年限40年，容积率3.0，无特殊的视角景观，</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开发程度“六通一平”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9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8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10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9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9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8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c>
          <w:tcPr>
            <w:tcW w:w="115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Ⅵ级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9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8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11105</w:t>
            </w:r>
          </w:p>
        </w:tc>
        <w:tc>
          <w:tcPr>
            <w:tcW w:w="10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7804</w:t>
            </w:r>
          </w:p>
        </w:tc>
        <w:tc>
          <w:tcPr>
            <w:tcW w:w="9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5938</w:t>
            </w:r>
          </w:p>
        </w:tc>
        <w:tc>
          <w:tcPr>
            <w:tcW w:w="9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4242</w:t>
            </w:r>
          </w:p>
        </w:tc>
        <w:tc>
          <w:tcPr>
            <w:tcW w:w="8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2757</w:t>
            </w:r>
          </w:p>
        </w:tc>
        <w:tc>
          <w:tcPr>
            <w:tcW w:w="115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1791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9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8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740.33 </w:t>
            </w:r>
          </w:p>
        </w:tc>
        <w:tc>
          <w:tcPr>
            <w:tcW w:w="10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520.27 </w:t>
            </w:r>
          </w:p>
        </w:tc>
        <w:tc>
          <w:tcPr>
            <w:tcW w:w="9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395.87 </w:t>
            </w:r>
          </w:p>
        </w:tc>
        <w:tc>
          <w:tcPr>
            <w:tcW w:w="9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282.80 </w:t>
            </w:r>
          </w:p>
        </w:tc>
        <w:tc>
          <w:tcPr>
            <w:tcW w:w="8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183.80 </w:t>
            </w:r>
          </w:p>
        </w:tc>
        <w:tc>
          <w:tcPr>
            <w:tcW w:w="115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119.40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9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级别面积（平方公里）</w:t>
            </w:r>
          </w:p>
        </w:tc>
        <w:tc>
          <w:tcPr>
            <w:tcW w:w="8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19.48</w:t>
            </w:r>
          </w:p>
        </w:tc>
        <w:tc>
          <w:tcPr>
            <w:tcW w:w="10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38.24</w:t>
            </w:r>
          </w:p>
        </w:tc>
        <w:tc>
          <w:tcPr>
            <w:tcW w:w="9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79.55</w:t>
            </w:r>
          </w:p>
        </w:tc>
        <w:tc>
          <w:tcPr>
            <w:tcW w:w="9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147.79</w:t>
            </w:r>
          </w:p>
        </w:tc>
        <w:tc>
          <w:tcPr>
            <w:tcW w:w="8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193.80</w:t>
            </w:r>
          </w:p>
        </w:tc>
        <w:tc>
          <w:tcPr>
            <w:tcW w:w="115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150.39</w:t>
            </w:r>
          </w:p>
        </w:tc>
      </w:tr>
    </w:tbl>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3、住宅用地基准地价内涵与评估结果</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参照《城镇土地估价规程（GBT18508-2014）》对基准地价的定义，基准地价内涵包括土地权利类型、土地用途、期日、土地开发程度及容积率等开发建设条件。根据南昌市的实际情况，对住宅用地基准地价内涵界定如下：</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①价值构成：包括政府在土地上支付的土地取得成本、城市基础设施配套建设费、土地开发成本、管理费、利息和应取得的土地增值收益等；</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②估价基准日：2020年7月1日；</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③样点区位条件：级别内的平均条件——级别平均单元总分所对应的区位条件</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④样点个别因素状况：面积适中，形状规则，地形平坦，地质条件一般，土地使用权年限70年，容积率2.3，开发程度“六通一平”。</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住宅用地基准地价评估适用的土地利用类型为全国《土地利用现状分类（GB/T21010-2017）中的住宅用地。</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（2）住宅用地基准地价评估结果</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表2-3  住宅用地基准地价结果表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679"/>
        <w:gridCol w:w="893"/>
        <w:gridCol w:w="893"/>
        <w:gridCol w:w="1011"/>
        <w:gridCol w:w="1011"/>
        <w:gridCol w:w="1019"/>
        <w:gridCol w:w="10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22" w:hRule="atLeast"/>
          <w:tblHeader/>
          <w:jc w:val="center"/>
        </w:trPr>
        <w:tc>
          <w:tcPr>
            <w:tcW w:w="1572" w:type="pc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3428" w:type="pct"/>
            <w:gridSpan w:val="6"/>
            <w:tcBorders>
              <w:top w:val="single" w:color="auto" w:sz="8" w:space="0"/>
              <w:left w:val="nil"/>
              <w:bottom w:val="single" w:color="auto" w:sz="8" w:space="0"/>
              <w:right w:val="single" w:color="auto" w:sz="8" w:space="0"/>
            </w:tcBorders>
            <w:shd w:val="clear"/>
            <w:tcMar>
              <w:left w:w="108" w:type="dxa"/>
              <w:right w:w="108" w:type="dxa"/>
            </w:tcMar>
            <w:vAlign w:val="top"/>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全国《土地利用现状分类》（GB/T21010-2017）中的</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住宅用地。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1572"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住宅用地基准地价专有基准条件</w:t>
            </w:r>
          </w:p>
        </w:tc>
        <w:tc>
          <w:tcPr>
            <w:tcW w:w="3428" w:type="pct"/>
            <w:gridSpan w:val="6"/>
            <w:tcBorders>
              <w:top w:val="nil"/>
              <w:left w:val="nil"/>
              <w:bottom w:val="single" w:color="auto" w:sz="8" w:space="0"/>
              <w:right w:val="single" w:color="auto" w:sz="8" w:space="0"/>
            </w:tcBorders>
            <w:shd w:val="clear"/>
            <w:tcMar>
              <w:left w:w="108" w:type="dxa"/>
              <w:right w:w="108" w:type="dxa"/>
            </w:tcMar>
            <w:vAlign w:val="top"/>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土地使用权年限70年，容积率2.3，无特殊的视角景观，</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开发程度“六通一平”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1572"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Ⅵ级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1572"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10594</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9435</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8383</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7357</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5284</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4505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1572"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706.27 </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629.00 </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558.87 </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490.47 </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352.27 </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000000"/>
                <w:sz w:val="21"/>
                <w:szCs w:val="21"/>
              </w:rPr>
              <w:t xml:space="preserve">300.33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1572" w:type="pc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级别面积（平方公里）</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27.05</w:t>
            </w:r>
          </w:p>
        </w:tc>
        <w:tc>
          <w:tcPr>
            <w:tcW w:w="5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96.30</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154.46</w:t>
            </w:r>
          </w:p>
        </w:tc>
        <w:tc>
          <w:tcPr>
            <w:tcW w:w="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174.76</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134.01</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42.67</w:t>
            </w:r>
          </w:p>
        </w:tc>
      </w:tr>
    </w:tbl>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4、工业用地基准地价内涵与评估结果</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（1）工业用地基准地价内涵</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①价值构成：包括政府在土地上支付的土地取得成本、城市基础设施配套建设费、土地开发成本、管理费、利息和应取得的土地增值收益等；</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②估价基准日：2020年7月1日；</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③样点区位条件：级别内的平均条件——级别平均单元总分所对应的区位条件；</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④样点个别因素状况：面积适中，形状规则，地形平坦，地质条件一般，土地使用权年限50年，容积率1.5，无特殊的视角景观，开发程度“五通一平”。</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工业用地基准地价评估适用的土地利用类型为全国《土地利用现状分类》（GB/T21010-2017）中的工矿仓储用地（06）。</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（2）工业用地基准地价评估结果</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表2-4  工业用地基准地价结果表</w:t>
      </w:r>
    </w:p>
    <w:tbl>
      <w:tblPr>
        <w:tblW w:w="906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598"/>
        <w:gridCol w:w="792"/>
        <w:gridCol w:w="991"/>
        <w:gridCol w:w="850"/>
        <w:gridCol w:w="991"/>
        <w:gridCol w:w="850"/>
        <w:gridCol w:w="9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46" w:hRule="atLeast"/>
          <w:jc w:val="center"/>
        </w:trPr>
        <w:tc>
          <w:tcPr>
            <w:tcW w:w="360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firstLine="42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5463"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全国《土地利用现状分类》（GB/T21010-2017）中的</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工矿仓储用地（06）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3" w:hRule="atLeast"/>
          <w:jc w:val="center"/>
        </w:trPr>
        <w:tc>
          <w:tcPr>
            <w:tcW w:w="36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工业用地基准地价专有基准条件</w:t>
            </w:r>
          </w:p>
        </w:tc>
        <w:tc>
          <w:tcPr>
            <w:tcW w:w="5463" w:type="dxa"/>
            <w:gridSpan w:val="6"/>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土地使用权年限50年，容积率1.5，无特殊的视角景观，</w:t>
            </w:r>
            <w:r>
              <w:rPr>
                <w:rFonts w:hint="eastAsia" w:ascii="仿宋" w:hAnsi="仿宋" w:eastAsia="仿宋" w:cs="仿宋"/>
                <w:color w:val="000000"/>
                <w:sz w:val="21"/>
                <w:szCs w:val="21"/>
              </w:rPr>
              <w:t>开发程度“五通一平”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3" w:hRule="atLeast"/>
          <w:jc w:val="center"/>
        </w:trPr>
        <w:tc>
          <w:tcPr>
            <w:tcW w:w="36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5463" w:type="dxa"/>
            <w:gridSpan w:val="6"/>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开发程度“五通一平”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8" w:hRule="atLeast"/>
          <w:jc w:val="center"/>
        </w:trPr>
        <w:tc>
          <w:tcPr>
            <w:tcW w:w="3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7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c>
          <w:tcPr>
            <w:tcW w:w="9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Ⅵ级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8" w:hRule="atLeast"/>
          <w:jc w:val="center"/>
        </w:trPr>
        <w:tc>
          <w:tcPr>
            <w:tcW w:w="3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7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675</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600</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525</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440</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225</w:t>
            </w:r>
          </w:p>
        </w:tc>
        <w:tc>
          <w:tcPr>
            <w:tcW w:w="9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8" w:hRule="atLeast"/>
          <w:jc w:val="center"/>
        </w:trPr>
        <w:tc>
          <w:tcPr>
            <w:tcW w:w="3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7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45.00</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40.00</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35.00</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29.33</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15.00</w:t>
            </w:r>
          </w:p>
        </w:tc>
        <w:tc>
          <w:tcPr>
            <w:tcW w:w="9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8" w:hRule="atLeast"/>
          <w:jc w:val="center"/>
        </w:trPr>
        <w:tc>
          <w:tcPr>
            <w:tcW w:w="3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级别面积（平方公里）</w:t>
            </w:r>
          </w:p>
        </w:tc>
        <w:tc>
          <w:tcPr>
            <w:tcW w:w="7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47.65</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116.39</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151.21</w:t>
            </w:r>
          </w:p>
        </w:tc>
        <w:tc>
          <w:tcPr>
            <w:tcW w:w="9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181.44</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67.12</w:t>
            </w:r>
          </w:p>
        </w:tc>
        <w:tc>
          <w:tcPr>
            <w:tcW w:w="9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65.44</w:t>
            </w:r>
          </w:p>
        </w:tc>
      </w:tr>
    </w:tbl>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5、公共管理与公共服务用地基准地价内涵与评估结果</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（1）公共管理与公共服务用地基准地价内涵</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参照《城镇土地估价规程（GBT18508-2014）》对基准地价的定义，基准地价内涵包括土地权利类型、土地用途、期日、土地开发程度及容积率等开发建设条件。根据南昌市的实际情况，对公共管理与公共服务用地基准地价内涵界定如下：</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①价值构成：包括政府在土地上支付的土地取得成本、城市基础设施配套建设费、土地开发成本、管理费、利息和应取得的土地增值收益等；</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②估价基准日：2020年7月1日；</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③样点区位条件：级别内的平均条件——级别平均单元总分所对应的区位条件；</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④样点个别因素状况：面积适中，形状规则，地形平坦，地质条件一般，土地使用权年限50年，无特殊的视角景观，开发程度“五通一平”。</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⑤容积率：第一类公共管理与公共服务用地（科研、新闻出版）的容积率为1.5；第二类公共管理与公共服务用地（机关团体、教育、文化、体育用地、医疗卫生、社会福利）的容积率为1.5；第三类公共管理与公共服务用地（公用设施用地）的容积率为1.0。</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公共管理与公共服务用地基准地价评估适用的土地利用类型为全国《土地利用现状分类》（GB/T21010-2017）中的公共管理与公共服务用地。</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（2）公共管理与公共服务用地基准地价结果</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表2-5 级别基准地价测算结果表</w:t>
      </w:r>
    </w:p>
    <w:tbl>
      <w:tblPr>
        <w:tblW w:w="949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853"/>
        <w:gridCol w:w="1822"/>
        <w:gridCol w:w="1061"/>
        <w:gridCol w:w="1063"/>
        <w:gridCol w:w="910"/>
        <w:gridCol w:w="910"/>
        <w:gridCol w:w="87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tblHeader/>
          <w:jc w:val="center"/>
        </w:trPr>
        <w:tc>
          <w:tcPr>
            <w:tcW w:w="285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项目</w:t>
            </w:r>
          </w:p>
        </w:tc>
        <w:tc>
          <w:tcPr>
            <w:tcW w:w="182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单位</w:t>
            </w:r>
          </w:p>
        </w:tc>
        <w:tc>
          <w:tcPr>
            <w:tcW w:w="106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w:t>
            </w:r>
          </w:p>
        </w:tc>
        <w:tc>
          <w:tcPr>
            <w:tcW w:w="106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w:t>
            </w:r>
          </w:p>
        </w:tc>
        <w:tc>
          <w:tcPr>
            <w:tcW w:w="91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w:t>
            </w:r>
          </w:p>
        </w:tc>
        <w:tc>
          <w:tcPr>
            <w:tcW w:w="91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w:t>
            </w:r>
          </w:p>
        </w:tc>
        <w:tc>
          <w:tcPr>
            <w:tcW w:w="8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科研、新闻出版类</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（第一类）</w:t>
            </w: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元/平方米</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2638</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2181</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1800</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1419</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1019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万元/亩</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175.87</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145.40</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120.00</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94.60</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67.93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机关团体、教育、文化、</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体育、医疗卫生、社会福利</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（第二类）</w:t>
            </w: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元/平方米</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2285</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1846</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1527</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1206</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813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万元/亩</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152.33 </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123.07 </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101.80 </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80.40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54.20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公用设施用地、绿地公园</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（第三类）</w:t>
            </w: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元/平方米</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1429</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1181</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975</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769</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552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万元/亩</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95.27</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78.73</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65.00</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51.27</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36.80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2852"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级别面积</w:t>
            </w:r>
          </w:p>
        </w:tc>
        <w:tc>
          <w:tcPr>
            <w:tcW w:w="18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平方公里</w:t>
            </w:r>
          </w:p>
        </w:tc>
        <w:tc>
          <w:tcPr>
            <w:tcW w:w="106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15.38</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87.97</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118.95</w:t>
            </w:r>
          </w:p>
        </w:tc>
        <w:tc>
          <w:tcPr>
            <w:tcW w:w="9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238.88</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168.07</w:t>
            </w:r>
          </w:p>
        </w:tc>
      </w:tr>
    </w:tbl>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表2-6  公共管理与公共服务用地基准地价结果表（第一大类）</w:t>
      </w:r>
    </w:p>
    <w:tbl>
      <w:tblPr>
        <w:tblW w:w="939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851"/>
        <w:gridCol w:w="1134"/>
        <w:gridCol w:w="1135"/>
        <w:gridCol w:w="1135"/>
        <w:gridCol w:w="1135"/>
        <w:gridCol w:w="1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47" w:hRule="atLeast"/>
        </w:trPr>
        <w:tc>
          <w:tcPr>
            <w:tcW w:w="38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firstLine="44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5539"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全国《土地利用现状分类》（GB/T21010-2017）中的</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9" w:hRule="atLeast"/>
        </w:trPr>
        <w:tc>
          <w:tcPr>
            <w:tcW w:w="385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公共管理与公共服务用地基准地价专有基准条件</w:t>
            </w:r>
          </w:p>
        </w:tc>
        <w:tc>
          <w:tcPr>
            <w:tcW w:w="5539" w:type="dxa"/>
            <w:gridSpan w:val="5"/>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土地使用权年限50年，容积率1.5，无特殊的视角景观，</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开发程度“五通一平”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0" w:hRule="atLeast"/>
        </w:trPr>
        <w:tc>
          <w:tcPr>
            <w:tcW w:w="385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10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0" w:hRule="atLeast"/>
        </w:trPr>
        <w:tc>
          <w:tcPr>
            <w:tcW w:w="385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2638</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2181</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1800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1419</w:t>
            </w:r>
          </w:p>
        </w:tc>
        <w:tc>
          <w:tcPr>
            <w:tcW w:w="10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1019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0" w:hRule="atLeast"/>
        </w:trPr>
        <w:tc>
          <w:tcPr>
            <w:tcW w:w="385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175.87 </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145.40 </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120.00 </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94.60 </w:t>
            </w:r>
          </w:p>
        </w:tc>
        <w:tc>
          <w:tcPr>
            <w:tcW w:w="10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67.93 </w:t>
            </w:r>
          </w:p>
        </w:tc>
      </w:tr>
    </w:tbl>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360" w:lineRule="auto"/>
        <w:ind w:left="0" w:right="0"/>
        <w:jc w:val="center"/>
        <w:rPr>
          <w:rFonts w:hint="default" w:ascii="Calibri" w:hAnsi="Calibri" w:cs="Calibri"/>
          <w:sz w:val="21"/>
          <w:szCs w:val="21"/>
        </w:rPr>
      </w:pPr>
      <w:r>
        <w:rPr>
          <w:rFonts w:hint="eastAsia" w:ascii="仿宋" w:hAnsi="仿宋" w:eastAsia="仿宋" w:cs="仿宋"/>
          <w:b/>
          <w:color w:val="333333"/>
          <w:sz w:val="24"/>
          <w:szCs w:val="24"/>
        </w:rPr>
        <w:t>表2-7 公共管理与公共服务用地基准地价结果表（第二大类）</w:t>
      </w:r>
    </w:p>
    <w:tbl>
      <w:tblPr>
        <w:tblW w:w="9465" w:type="dxa"/>
        <w:tblInd w:w="0" w:type="dxa"/>
        <w:shd w:val="clear"/>
        <w:tblLayout w:type="autofit"/>
        <w:tblCellMar>
          <w:top w:w="0" w:type="dxa"/>
          <w:left w:w="0" w:type="dxa"/>
          <w:bottom w:w="0" w:type="dxa"/>
          <w:right w:w="0" w:type="dxa"/>
        </w:tblCellMar>
      </w:tblPr>
      <w:tblGrid>
        <w:gridCol w:w="3887"/>
        <w:gridCol w:w="1174"/>
        <w:gridCol w:w="1174"/>
        <w:gridCol w:w="1174"/>
        <w:gridCol w:w="1026"/>
        <w:gridCol w:w="1030"/>
      </w:tblGrid>
      <w:tr>
        <w:tblPrEx>
          <w:shd w:val="clear"/>
          <w:tblCellMar>
            <w:top w:w="0" w:type="dxa"/>
            <w:left w:w="0" w:type="dxa"/>
            <w:bottom w:w="0" w:type="dxa"/>
            <w:right w:w="0" w:type="dxa"/>
          </w:tblCellMar>
        </w:tblPrEx>
        <w:trPr>
          <w:trHeight w:val="684" w:hRule="atLeast"/>
        </w:trPr>
        <w:tc>
          <w:tcPr>
            <w:tcW w:w="388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firstLine="44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5573"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全国《土地利用现状分类》（GB/T21010-2017）中的</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w:t>
            </w:r>
          </w:p>
        </w:tc>
      </w:tr>
      <w:tr>
        <w:tblPrEx>
          <w:tblCellMar>
            <w:top w:w="0" w:type="dxa"/>
            <w:left w:w="0" w:type="dxa"/>
            <w:bottom w:w="0" w:type="dxa"/>
            <w:right w:w="0" w:type="dxa"/>
          </w:tblCellMar>
        </w:tblPrEx>
        <w:trPr>
          <w:trHeight w:val="648" w:hRule="atLeast"/>
        </w:trPr>
        <w:tc>
          <w:tcPr>
            <w:tcW w:w="388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公共管理与公共服务用地基准地价专有基准条件</w:t>
            </w:r>
          </w:p>
        </w:tc>
        <w:tc>
          <w:tcPr>
            <w:tcW w:w="5573" w:type="dxa"/>
            <w:gridSpan w:val="5"/>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土地使用权年限50年，容积率1.5，无特殊的视角景观，</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开发程度“五通一平”</w:t>
            </w:r>
          </w:p>
        </w:tc>
      </w:tr>
      <w:tr>
        <w:tblPrEx>
          <w:tblCellMar>
            <w:top w:w="0" w:type="dxa"/>
            <w:left w:w="0" w:type="dxa"/>
            <w:bottom w:w="0" w:type="dxa"/>
            <w:right w:w="0" w:type="dxa"/>
          </w:tblCellMar>
        </w:tblPrEx>
        <w:trPr>
          <w:trHeight w:val="288" w:hRule="atLeast"/>
        </w:trPr>
        <w:tc>
          <w:tcPr>
            <w:tcW w:w="388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102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10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r>
      <w:tr>
        <w:tblPrEx>
          <w:tblCellMar>
            <w:top w:w="0" w:type="dxa"/>
            <w:left w:w="0" w:type="dxa"/>
            <w:bottom w:w="0" w:type="dxa"/>
            <w:right w:w="0" w:type="dxa"/>
          </w:tblCellMar>
        </w:tblPrEx>
        <w:trPr>
          <w:trHeight w:val="288" w:hRule="atLeast"/>
        </w:trPr>
        <w:tc>
          <w:tcPr>
            <w:tcW w:w="388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2285</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1846</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1527</w:t>
            </w:r>
          </w:p>
        </w:tc>
        <w:tc>
          <w:tcPr>
            <w:tcW w:w="102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1206</w:t>
            </w:r>
          </w:p>
        </w:tc>
        <w:tc>
          <w:tcPr>
            <w:tcW w:w="10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813</w:t>
            </w:r>
          </w:p>
        </w:tc>
      </w:tr>
      <w:tr>
        <w:tblPrEx>
          <w:tblCellMar>
            <w:top w:w="0" w:type="dxa"/>
            <w:left w:w="0" w:type="dxa"/>
            <w:bottom w:w="0" w:type="dxa"/>
            <w:right w:w="0" w:type="dxa"/>
          </w:tblCellMar>
        </w:tblPrEx>
        <w:trPr>
          <w:trHeight w:val="288" w:hRule="atLeast"/>
        </w:trPr>
        <w:tc>
          <w:tcPr>
            <w:tcW w:w="388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152.33 </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123.07 </w:t>
            </w:r>
          </w:p>
        </w:tc>
        <w:tc>
          <w:tcPr>
            <w:tcW w:w="11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101.80 </w:t>
            </w:r>
          </w:p>
        </w:tc>
        <w:tc>
          <w:tcPr>
            <w:tcW w:w="102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80.40 </w:t>
            </w:r>
          </w:p>
        </w:tc>
        <w:tc>
          <w:tcPr>
            <w:tcW w:w="10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54.20 </w:t>
            </w:r>
          </w:p>
        </w:tc>
      </w:tr>
    </w:tbl>
    <w:p>
      <w:pPr>
        <w:pStyle w:val="4"/>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b/>
          <w:color w:val="333333"/>
          <w:sz w:val="24"/>
          <w:szCs w:val="24"/>
        </w:rPr>
        <w:t>表2-8  公共管理与公共服务用地基准地价结果表（第三大类）</w:t>
      </w:r>
    </w:p>
    <w:tbl>
      <w:tblPr>
        <w:tblW w:w="946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885"/>
        <w:gridCol w:w="1240"/>
        <w:gridCol w:w="1085"/>
        <w:gridCol w:w="1085"/>
        <w:gridCol w:w="1085"/>
        <w:gridCol w:w="10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08" w:hRule="atLeast"/>
        </w:trPr>
        <w:tc>
          <w:tcPr>
            <w:tcW w:w="388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firstLine="440"/>
              <w:jc w:val="center"/>
              <w:rPr>
                <w:rFonts w:hint="default" w:ascii="Calibri" w:hAnsi="Calibri" w:cs="Calibri"/>
                <w:sz w:val="21"/>
                <w:szCs w:val="21"/>
              </w:rPr>
            </w:pPr>
            <w:r>
              <w:rPr>
                <w:rFonts w:hint="eastAsia" w:ascii="仿宋" w:hAnsi="仿宋" w:eastAsia="仿宋" w:cs="仿宋"/>
                <w:color w:val="333333"/>
                <w:sz w:val="21"/>
                <w:szCs w:val="21"/>
              </w:rPr>
              <w:t>适用的土地利用类型</w:t>
            </w:r>
          </w:p>
        </w:tc>
        <w:tc>
          <w:tcPr>
            <w:tcW w:w="557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全国《土地利用现状分类》（GB/T21010-2017）中的</w:t>
            </w:r>
          </w:p>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2" w:hRule="atLeast"/>
        </w:trPr>
        <w:tc>
          <w:tcPr>
            <w:tcW w:w="3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公共管理与公共服务用地基准地价专有基准条件</w:t>
            </w:r>
          </w:p>
        </w:tc>
        <w:tc>
          <w:tcPr>
            <w:tcW w:w="5575" w:type="dxa"/>
            <w:gridSpan w:val="5"/>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土地使用权年限50年，容积率1.0，无特殊的视角景观，</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开发程度“五通一平”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8" w:hRule="atLeast"/>
        </w:trPr>
        <w:tc>
          <w:tcPr>
            <w:tcW w:w="3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基准地价类型</w:t>
            </w:r>
          </w:p>
        </w:tc>
        <w:tc>
          <w:tcPr>
            <w:tcW w:w="123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Ⅰ级</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Ⅱ级</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Ⅲ级</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Ⅳ级</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Ⅴ级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8" w:hRule="atLeast"/>
        </w:trPr>
        <w:tc>
          <w:tcPr>
            <w:tcW w:w="3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地面基准地价（元/平方米）</w:t>
            </w:r>
          </w:p>
        </w:tc>
        <w:tc>
          <w:tcPr>
            <w:tcW w:w="123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1429</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1181</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975</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769</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552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8" w:hRule="atLeast"/>
        </w:trPr>
        <w:tc>
          <w:tcPr>
            <w:tcW w:w="38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地面基准地价（万元/亩）</w:t>
            </w:r>
          </w:p>
        </w:tc>
        <w:tc>
          <w:tcPr>
            <w:tcW w:w="123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95.27 </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78.73 </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65.00 </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51.27 </w:t>
            </w:r>
          </w:p>
        </w:tc>
        <w:tc>
          <w:tcPr>
            <w:tcW w:w="10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 w:hAnsi="仿宋" w:eastAsia="仿宋" w:cs="仿宋"/>
                <w:color w:val="333333"/>
                <w:sz w:val="21"/>
                <w:szCs w:val="21"/>
              </w:rPr>
              <w:t xml:space="preserve">36.80 </w:t>
            </w:r>
          </w:p>
        </w:tc>
      </w:tr>
    </w:tbl>
    <w:p>
      <w:pPr>
        <w:pStyle w:val="3"/>
        <w:keepNext w:val="0"/>
        <w:keepLines w:val="0"/>
        <w:widowControl/>
        <w:suppressLineNumbers w:val="0"/>
        <w:spacing w:before="0" w:beforeAutospacing="0" w:after="0" w:afterAutospacing="0"/>
        <w:ind w:left="0" w:right="0"/>
        <w:jc w:val="left"/>
      </w:pPr>
      <w:r>
        <w:rPr>
          <w:rFonts w:hint="eastAsia" w:ascii="仿宋" w:hAnsi="仿宋" w:eastAsia="仿宋" w:cs="仿宋"/>
          <w:color w:val="333333"/>
        </w:rPr>
        <w:t>三、基准地价修正体系</w:t>
      </w:r>
    </w:p>
    <w:p>
      <w:pPr>
        <w:pStyle w:val="4"/>
        <w:keepNext/>
        <w:keepLines w:val="0"/>
        <w:widowControl/>
        <w:suppressLineNumbers w:val="0"/>
        <w:spacing w:before="120" w:beforeAutospacing="0" w:after="12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30"/>
          <w:szCs w:val="30"/>
        </w:rPr>
        <w:t>第一节  商服用地基准地价修正体系</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一、商服用地宗地地价影响因素修正</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表3-1-1  南昌市城区一级商服用地宗地地价修正系数表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0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26"/>
        <w:gridCol w:w="2738"/>
        <w:gridCol w:w="1228"/>
        <w:gridCol w:w="1228"/>
        <w:gridCol w:w="1228"/>
        <w:gridCol w:w="1228"/>
        <w:gridCol w:w="122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19" w:hRule="atLeast"/>
          <w:jc w:val="center"/>
        </w:trPr>
        <w:tc>
          <w:tcPr>
            <w:tcW w:w="326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9" w:hRule="atLeast"/>
          <w:jc w:val="center"/>
        </w:trPr>
        <w:tc>
          <w:tcPr>
            <w:tcW w:w="5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8.14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4.07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-3.19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-6.37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1.77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0.88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0.65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9" w:hRule="atLeast"/>
          <w:jc w:val="center"/>
        </w:trPr>
        <w:tc>
          <w:tcPr>
            <w:tcW w:w="5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6"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1.63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3" w:hRule="atLeast"/>
          <w:jc w:val="center"/>
        </w:trPr>
        <w:tc>
          <w:tcPr>
            <w:tcW w:w="5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3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1.49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-1.17 </w:t>
            </w:r>
          </w:p>
        </w:tc>
      </w:tr>
    </w:tbl>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表3-1-2 南昌市城区一级商服用地宗地地价修正系数说明表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36"/>
        <w:gridCol w:w="1881"/>
        <w:gridCol w:w="1382"/>
        <w:gridCol w:w="1516"/>
        <w:gridCol w:w="1514"/>
        <w:gridCol w:w="1450"/>
        <w:gridCol w:w="11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41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38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5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5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44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8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601～1150米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1151～1700米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1701～2250米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&gt;2250米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90" w:hRule="atLeas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101～300米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301～500米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501～800米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&gt;800米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90" w:hRule="atLeas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801～1400米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1401～2000米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2001～2600米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1001～2000米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2001～3000米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3001～4000米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1001～2000米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2001～3000米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3001～4000米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801～1400米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1401～2000米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2001～2600米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1001～2000米</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2001～3000米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3001～4000米</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面积适中，对土地利用极为有利</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面积对土地利用较为有利</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面积对土地利用无不良影响</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面积较小或较大，对土地利用有一定影响</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形状规则，对土地利用极为有利</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形状较规则，对土地利用较为有利</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形状对土地利用无不良影响</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形状不规则，对土地利用有一定影响</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&gt;1.3</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1.0～1.3</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0.8～1.0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0.5～0.8</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3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三面临街</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两面临街</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一面临街距侧街五米内</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一面临街距侧街五米外</w:t>
            </w:r>
          </w:p>
        </w:tc>
        <w:tc>
          <w:tcPr>
            <w:tcW w:w="118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不临街</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表3-1-3  南昌市城区二级商服用地宗地地价修正系数表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9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28"/>
        <w:gridCol w:w="2767"/>
        <w:gridCol w:w="1240"/>
        <w:gridCol w:w="1240"/>
        <w:gridCol w:w="1240"/>
        <w:gridCol w:w="1240"/>
        <w:gridCol w:w="12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41" w:hRule="atLeast"/>
          <w:jc w:val="center"/>
        </w:trPr>
        <w:tc>
          <w:tcPr>
            <w:tcW w:w="329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7.51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3.76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-2.61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-5.21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1.63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0.92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1.74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69"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1.51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97" w:hRule="atLeast"/>
          <w:jc w:val="center"/>
        </w:trPr>
        <w:tc>
          <w:tcPr>
            <w:tcW w:w="52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1.37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-0.48 </w:t>
            </w:r>
          </w:p>
        </w:tc>
        <w:tc>
          <w:tcPr>
            <w:tcW w:w="12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-0.95 </w:t>
            </w:r>
          </w:p>
        </w:tc>
      </w:tr>
    </w:tbl>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表3-1-4  南昌市城区二级商服用地宗地地价修正系数说明表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84"/>
        <w:gridCol w:w="1887"/>
        <w:gridCol w:w="1272"/>
        <w:gridCol w:w="1435"/>
        <w:gridCol w:w="1681"/>
        <w:gridCol w:w="1435"/>
        <w:gridCol w:w="12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37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7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43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6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43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6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0～1500米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1501～2100米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2101～2700米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2701～3300米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201～400米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401～600米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601～1000米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0～1400米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1401～2050米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2051～2700米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2701～3350米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0～1400米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1401～2050米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2051～2700米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2701～3350米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&gt;1.3</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0.8～1.0</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0.5～0.8</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五米内</w:t>
            </w:r>
          </w:p>
        </w:tc>
        <w:tc>
          <w:tcPr>
            <w:tcW w:w="143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表3-1-5 南昌市城区三级商服用地宗地地价修正系数表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57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32"/>
        <w:gridCol w:w="2790"/>
        <w:gridCol w:w="1250"/>
        <w:gridCol w:w="1250"/>
        <w:gridCol w:w="1250"/>
        <w:gridCol w:w="1250"/>
        <w:gridCol w:w="12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76" w:hRule="atLeast"/>
          <w:jc w:val="center"/>
        </w:trPr>
        <w:tc>
          <w:tcPr>
            <w:tcW w:w="332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5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5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5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5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4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7.19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3.59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-2.32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-4.63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1.56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0.78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0.88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-0.15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0.65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0.65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1.67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1.44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76" w:hRule="atLeast"/>
          <w:jc w:val="center"/>
        </w:trPr>
        <w:tc>
          <w:tcPr>
            <w:tcW w:w="53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1.32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124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-0.85 </w:t>
            </w:r>
          </w:p>
        </w:tc>
      </w:tr>
    </w:tbl>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表3-1-6  南昌市城区三级商服用地宗地地价修正系数说明表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40"/>
        <w:gridCol w:w="1943"/>
        <w:gridCol w:w="1327"/>
        <w:gridCol w:w="1450"/>
        <w:gridCol w:w="1588"/>
        <w:gridCol w:w="1450"/>
        <w:gridCol w:w="11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48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32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44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58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44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6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0～3300米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3301～4100米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4801～5500米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801～1500米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0～2600米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2601～3350米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3351～4100米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4101～4850米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2501～3500米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2501～3500米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0～2600米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2601～3350米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3351～4100米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4101～4850米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2501～3500米</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&gt;1.3</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0.8～1.0</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0.5～0.8</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4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4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32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58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44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表3-1-7 南昌市城区四级商服用地宗地地价修正系数表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28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18"/>
        <w:gridCol w:w="2709"/>
        <w:gridCol w:w="1212"/>
        <w:gridCol w:w="1212"/>
        <w:gridCol w:w="1212"/>
        <w:gridCol w:w="1213"/>
        <w:gridCol w:w="12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88" w:hRule="atLeast"/>
          <w:jc w:val="center"/>
        </w:trPr>
        <w:tc>
          <w:tcPr>
            <w:tcW w:w="322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0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6.26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3.13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-2.04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-4.07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0.79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1.45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1.41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1.26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88" w:hRule="atLeast"/>
          <w:jc w:val="center"/>
        </w:trPr>
        <w:tc>
          <w:tcPr>
            <w:tcW w:w="51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1.15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r>
    </w:tbl>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表3-1-8  南昌市城区四级商服用地宗地地价修正系数说明表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71"/>
        <w:gridCol w:w="1912"/>
        <w:gridCol w:w="1259"/>
        <w:gridCol w:w="1431"/>
        <w:gridCol w:w="1616"/>
        <w:gridCol w:w="1516"/>
        <w:gridCol w:w="11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48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43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6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5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0～3300米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3301～4100米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4801～5500米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801～1500米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0～2600米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2601～3350米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3351～4100米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4101～4850米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0～3500米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0～3500米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0～2600米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2601～3350米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3351～4100米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4101～4850米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0～3500米</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3501～4500米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&gt;1.3</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0.8～1.0</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0.5～0.8</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57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2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4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5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表3-1-9  南昌市城区五级商服用地宗地地价修正系数表</w:t>
      </w:r>
    </w:p>
    <w:p>
      <w:pPr>
        <w:pStyle w:val="4"/>
        <w:keepNext w:val="0"/>
        <w:keepLines w:val="0"/>
        <w:widowControl/>
        <w:suppressLineNumbers w:val="0"/>
        <w:spacing w:before="0" w:beforeAutospacing="0" w:after="0" w:afterAutospacing="0" w:line="440" w:lineRule="atLeast"/>
        <w:ind w:left="0" w:right="0" w:firstLine="422"/>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933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20"/>
        <w:gridCol w:w="2723"/>
        <w:gridCol w:w="1218"/>
        <w:gridCol w:w="1218"/>
        <w:gridCol w:w="1218"/>
        <w:gridCol w:w="1218"/>
        <w:gridCol w:w="12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41" w:hRule="atLeast"/>
          <w:jc w:val="center"/>
        </w:trPr>
        <w:tc>
          <w:tcPr>
            <w:tcW w:w="324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5.92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2.96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-1.99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-3.99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1.28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0.78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0.98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1.33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41" w:hRule="atLeast"/>
          <w:jc w:val="center"/>
        </w:trPr>
        <w:tc>
          <w:tcPr>
            <w:tcW w:w="5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72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1.08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r>
    </w:tbl>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表3-1-10  南昌市城区五级商服用地宗地地价修正系数说明表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74"/>
        <w:gridCol w:w="1851"/>
        <w:gridCol w:w="1153"/>
        <w:gridCol w:w="1386"/>
        <w:gridCol w:w="1616"/>
        <w:gridCol w:w="1386"/>
        <w:gridCol w:w="15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32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15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38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6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38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5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0～4200米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4201～4950米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4951～5700米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5701～6450米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&gt;6450米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801～1500米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0～3200米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3201～4000米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4001～4800米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4801～5600米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0～3200米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3201～4000米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4001～4800米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4801～5600米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素</w:t>
            </w: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&gt;1.3</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0.8～1.0</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0.5～0.8</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jc w:val="center"/>
        </w:trPr>
        <w:tc>
          <w:tcPr>
            <w:tcW w:w="47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5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61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38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5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表3-1-11  南昌市城区六级商服用地宗地地价修正系数表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21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11"/>
        <w:gridCol w:w="2689"/>
        <w:gridCol w:w="1203"/>
        <w:gridCol w:w="1203"/>
        <w:gridCol w:w="1203"/>
        <w:gridCol w:w="1203"/>
        <w:gridCol w:w="119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14" w:hRule="atLeast"/>
          <w:jc w:val="center"/>
        </w:trPr>
        <w:tc>
          <w:tcPr>
            <w:tcW w:w="3203"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5.40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2.70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-1.72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-3.44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1.17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-0.15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0.97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1.25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1.22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0.61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1.08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r>
    </w:tbl>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表3-1-12 南昌市城区六级商服用地宗地地价修正系数说明表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1"/>
        <w:gridCol w:w="1910"/>
        <w:gridCol w:w="1287"/>
        <w:gridCol w:w="1452"/>
        <w:gridCol w:w="1703"/>
        <w:gridCol w:w="1452"/>
        <w:gridCol w:w="11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4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修正因素</w:t>
            </w:r>
          </w:p>
        </w:tc>
        <w:tc>
          <w:tcPr>
            <w:tcW w:w="128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优</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较优</w:t>
            </w:r>
          </w:p>
        </w:tc>
        <w:tc>
          <w:tcPr>
            <w:tcW w:w="170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一般</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较劣</w:t>
            </w:r>
          </w:p>
        </w:tc>
        <w:tc>
          <w:tcPr>
            <w:tcW w:w="116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素</w:t>
            </w: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0～5100米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5101～5900米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5901～6700米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6701～7500米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0～3800米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3801～4650米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4651～5500米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5501～6350米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7501～8500米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7501～8500米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0～3800米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3801～4650米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4651～5500米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5501～6350米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7501～8500米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90" w:hRule="atLeast"/>
          <w:jc w:val="center"/>
        </w:trPr>
        <w:tc>
          <w:tcPr>
            <w:tcW w:w="49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素</w:t>
            </w: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&gt;1.3</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0.8～1.0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0.5～0.8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b/>
          <w:color w:val="333333"/>
          <w:sz w:val="21"/>
          <w:szCs w:val="21"/>
        </w:rPr>
        <w:t>表3-1-13  南昌市城区七级商服用地宗地地价修正系数表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21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11"/>
        <w:gridCol w:w="2689"/>
        <w:gridCol w:w="1203"/>
        <w:gridCol w:w="1203"/>
        <w:gridCol w:w="1203"/>
        <w:gridCol w:w="1203"/>
        <w:gridCol w:w="119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414" w:hRule="atLeast"/>
          <w:jc w:val="center"/>
        </w:trPr>
        <w:tc>
          <w:tcPr>
            <w:tcW w:w="3203"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0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中心距离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5.52</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2.76</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-1.78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-3.56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1.29</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0.65</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-0.44</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0.78</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0.39</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0.83</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-0.29</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0.57</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0.29</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0.47</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0.24</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0.63</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0.32</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0.75</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0.38</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0.61</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0.31</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1.01</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0.51</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1.09</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0.55</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0.66</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0.33</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0.55</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0.28</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1.37</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0.69</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1.34</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0.67</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宗地临街宽深比</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1.2</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14" w:hRule="atLeast"/>
          <w:jc w:val="center"/>
        </w:trPr>
        <w:tc>
          <w:tcPr>
            <w:tcW w:w="51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1.11</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0.56</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20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-0.75</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1"/>
          <w:szCs w:val="21"/>
          <w:bdr w:val="none" w:color="auto" w:sz="0" w:space="0"/>
        </w:rPr>
        <w:br w:type="page"/>
      </w: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表3-1-14 南昌市城区七级商服用地宗地地价修正系数说明表</w:t>
      </w:r>
    </w:p>
    <w:tbl>
      <w:tblPr>
        <w:tblW w:w="94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1"/>
        <w:gridCol w:w="1910"/>
        <w:gridCol w:w="1287"/>
        <w:gridCol w:w="1452"/>
        <w:gridCol w:w="1703"/>
        <w:gridCol w:w="1452"/>
        <w:gridCol w:w="11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blHeader/>
          <w:jc w:val="center"/>
        </w:trPr>
        <w:tc>
          <w:tcPr>
            <w:tcW w:w="24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修正因素</w:t>
            </w:r>
          </w:p>
        </w:tc>
        <w:tc>
          <w:tcPr>
            <w:tcW w:w="128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优</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较优</w:t>
            </w:r>
          </w:p>
        </w:tc>
        <w:tc>
          <w:tcPr>
            <w:tcW w:w="170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一般</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较劣</w:t>
            </w:r>
          </w:p>
        </w:tc>
        <w:tc>
          <w:tcPr>
            <w:tcW w:w="116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素</w:t>
            </w: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中心距离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0~6000米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6001~6800米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6801~6700米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7601~8400米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&gt;8401米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0~300米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301~500米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501~800米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801~1500米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0~4400米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4401~5250米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5251~6100米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6101~6950米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&gt;6951米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0~6500米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6501~7500米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7501~8500米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8501~9500米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&gt;9500米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距汽车站距离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0~6500米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6501~7500米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7501~8500米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8501~9500米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&gt;9500米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距机场距离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0~6500米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6501~7500米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7501~8500米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8501~9500米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&gt;9500米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0~6500米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6501~7500米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7501~8500米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8501~9500米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&gt;9500米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（定级分值）</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80—100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60—80</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40—60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20—40</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0~5000米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5001~6200米</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6201~7400米</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8601~9800米</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&gt;9801米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90" w:hRule="atLeast"/>
          <w:jc w:val="center"/>
        </w:trPr>
        <w:tc>
          <w:tcPr>
            <w:tcW w:w="49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个</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素</w:t>
            </w: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宗地临街宽深比</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&gt;1.3</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1.0～1.3</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0.8～1.0</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0.5～0.8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&lt;0.8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jc w:val="center"/>
        </w:trPr>
        <w:tc>
          <w:tcPr>
            <w:tcW w:w="49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宗地临街位置</w:t>
            </w:r>
          </w:p>
        </w:tc>
        <w:tc>
          <w:tcPr>
            <w:tcW w:w="128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三面临街</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两面临街</w:t>
            </w:r>
          </w:p>
        </w:tc>
        <w:tc>
          <w:tcPr>
            <w:tcW w:w="17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18"/>
                <w:szCs w:val="18"/>
              </w:rPr>
              <w:t>不临街</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二、商服用地宗地地价其他因素修正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（一）使用年限修正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我国实行有偿、有期限、有流动的土地使用制度，因此土地使用期限的长短直接影响地价的高低。商服用地土地使用权法定最高出让年限为40年，土地还原利率按不同年限实际求取，根据公式：</w:t>
      </w:r>
    </w:p>
    <w:p>
      <w:pPr>
        <w:pStyle w:val="4"/>
        <w:keepNext w:val="0"/>
        <w:keepLines w:val="0"/>
        <w:widowControl/>
        <w:suppressLineNumbers w:val="0"/>
        <w:spacing w:before="0" w:beforeAutospacing="0" w:after="0" w:afterAutospacing="0" w:line="240" w:lineRule="auto"/>
        <w:ind w:left="578"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495425" cy="74295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495425" cy="74295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578"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962025" cy="781050"/>
            <wp:effectExtent l="0" t="0" r="9525"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962025" cy="78105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37"/>
        <w:jc w:val="both"/>
        <w:rPr>
          <w:rFonts w:hint="default" w:ascii="Calibri" w:hAnsi="Calibri" w:cs="Calibri"/>
          <w:sz w:val="21"/>
          <w:szCs w:val="21"/>
        </w:rPr>
      </w:pPr>
      <w:r>
        <w:rPr>
          <w:rFonts w:hint="eastAsia" w:ascii="仿宋" w:hAnsi="仿宋" w:eastAsia="仿宋" w:cs="仿宋"/>
          <w:color w:val="333333"/>
          <w:sz w:val="24"/>
          <w:szCs w:val="24"/>
        </w:rPr>
        <w:t>式中：</w:t>
      </w:r>
    </w:p>
    <w:p>
      <w:pPr>
        <w:pStyle w:val="4"/>
        <w:keepNext w:val="0"/>
        <w:keepLines w:val="0"/>
        <w:widowControl/>
        <w:suppressLineNumbers w:val="0"/>
        <w:spacing w:before="0" w:beforeAutospacing="0" w:after="0" w:afterAutospacing="0" w:line="360" w:lineRule="auto"/>
        <w:ind w:left="0" w:right="0" w:firstLine="437"/>
        <w:jc w:val="both"/>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—剩余土地使用权年限</w:t>
      </w:r>
    </w:p>
    <w:p>
      <w:pPr>
        <w:pStyle w:val="4"/>
        <w:keepNext w:val="0"/>
        <w:keepLines w:val="0"/>
        <w:widowControl/>
        <w:suppressLineNumbers w:val="0"/>
        <w:spacing w:before="0" w:beforeAutospacing="0" w:after="0" w:afterAutospacing="0" w:line="360" w:lineRule="auto"/>
        <w:ind w:left="0" w:right="0" w:firstLine="480"/>
        <w:jc w:val="both"/>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66675" cy="133350"/>
            <wp:effectExtent l="0" t="0" r="9525" b="0"/>
            <wp:docPr id="9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 descr="IMG_259"/>
                    <pic:cNvPicPr>
                      <a:picLocks noChangeAspect="1"/>
                    </pic:cNvPicPr>
                  </pic:nvPicPr>
                  <pic:blipFill>
                    <a:blip r:embed="rId7"/>
                    <a:stretch>
                      <a:fillRect/>
                    </a:stretch>
                  </pic:blipFill>
                  <pic:spPr>
                    <a:xfrm>
                      <a:off x="0" y="0"/>
                      <a:ext cx="66675" cy="133350"/>
                    </a:xfrm>
                    <a:prstGeom prst="rect">
                      <a:avLst/>
                    </a:prstGeom>
                    <a:noFill/>
                    <a:ln w="9525">
                      <a:noFill/>
                    </a:ln>
                  </pic:spPr>
                </pic:pic>
              </a:graphicData>
            </a:graphic>
          </wp:inline>
        </w:drawing>
      </w:r>
      <w:r>
        <w:rPr>
          <w:rFonts w:hint="eastAsia" w:ascii="仿宋" w:hAnsi="仿宋" w:eastAsia="仿宋" w:cs="仿宋"/>
          <w:color w:val="333333"/>
          <w:sz w:val="24"/>
          <w:szCs w:val="24"/>
        </w:rPr>
        <w:t>—商服用地土地还原利率</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（二）估价期日修正</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default" w:ascii="Calibri" w:hAnsi="Calibri" w:cs="Calibri"/>
          <w:color w:val="333333"/>
          <w:sz w:val="21"/>
          <w:szCs w:val="21"/>
          <w:bdr w:val="none" w:color="auto" w:sz="0" w:space="0"/>
        </w:rPr>
        <w:drawing>
          <wp:inline distT="0" distB="0" distL="114300" distR="114300">
            <wp:extent cx="3162300" cy="590550"/>
            <wp:effectExtent l="0" t="0" r="0" b="0"/>
            <wp:docPr id="9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5" descr="IMG_260"/>
                    <pic:cNvPicPr>
                      <a:picLocks noChangeAspect="1"/>
                    </pic:cNvPicPr>
                  </pic:nvPicPr>
                  <pic:blipFill>
                    <a:blip r:embed="rId8"/>
                    <a:stretch>
                      <a:fillRect/>
                    </a:stretch>
                  </pic:blipFill>
                  <pic:spPr>
                    <a:xfrm>
                      <a:off x="0" y="0"/>
                      <a:ext cx="3162300" cy="590550"/>
                    </a:xfrm>
                    <a:prstGeom prst="rect">
                      <a:avLst/>
                    </a:prstGeom>
                    <a:noFill/>
                    <a:ln w="9525">
                      <a:noFill/>
                    </a:ln>
                  </pic:spPr>
                </pic:pic>
              </a:graphicData>
            </a:graphic>
          </wp:inline>
        </w:drawing>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（三）容积率修正</w:t>
      </w:r>
    </w:p>
    <w:p>
      <w:pPr>
        <w:pStyle w:val="4"/>
        <w:keepNext w:val="0"/>
        <w:keepLines w:val="0"/>
        <w:widowControl/>
        <w:suppressLineNumbers w:val="0"/>
        <w:spacing w:before="120" w:beforeAutospacing="0" w:after="120" w:afterAutospacing="0" w:line="240" w:lineRule="auto"/>
        <w:ind w:left="840" w:right="0" w:firstLine="480"/>
        <w:jc w:val="both"/>
        <w:rPr>
          <w:rFonts w:hint="default" w:ascii="Calibri" w:hAnsi="Calibri" w:cs="Calibri"/>
          <w:sz w:val="21"/>
          <w:szCs w:val="21"/>
        </w:rPr>
      </w:pPr>
      <w:r>
        <w:rPr>
          <w:rFonts w:hint="eastAsia" w:ascii="仿宋" w:hAnsi="仿宋" w:eastAsia="仿宋" w:cs="仿宋"/>
          <w:color w:val="333333"/>
          <w:sz w:val="24"/>
          <w:szCs w:val="24"/>
        </w:rPr>
        <w:t>容积率修正公式：</w:t>
      </w:r>
    </w:p>
    <w:p>
      <w:pPr>
        <w:pStyle w:val="4"/>
        <w:keepNext w:val="0"/>
        <w:keepLines w:val="0"/>
        <w:widowControl/>
        <w:suppressLineNumbers w:val="0"/>
        <w:spacing w:before="120" w:beforeAutospacing="0" w:after="120" w:afterAutospacing="0" w:line="36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952500" cy="333375"/>
            <wp:effectExtent l="0" t="0" r="0" b="0"/>
            <wp:docPr id="8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6" descr="IMG_261"/>
                    <pic:cNvPicPr>
                      <a:picLocks noChangeAspect="1"/>
                    </pic:cNvPicPr>
                  </pic:nvPicPr>
                  <pic:blipFill>
                    <a:blip r:embed="rId9"/>
                    <a:stretch>
                      <a:fillRect/>
                    </a:stretch>
                  </pic:blipFill>
                  <pic:spPr>
                    <a:xfrm>
                      <a:off x="0" y="0"/>
                      <a:ext cx="952500" cy="333375"/>
                    </a:xfrm>
                    <a:prstGeom prst="rect">
                      <a:avLst/>
                    </a:prstGeom>
                    <a:noFill/>
                    <a:ln w="9525">
                      <a:noFill/>
                    </a:ln>
                  </pic:spPr>
                </pic:pic>
              </a:graphicData>
            </a:graphic>
          </wp:inline>
        </w:drawing>
      </w:r>
    </w:p>
    <w:p>
      <w:pPr>
        <w:pStyle w:val="4"/>
        <w:keepNext w:val="0"/>
        <w:keepLines w:val="0"/>
        <w:widowControl/>
        <w:suppressLineNumbers w:val="0"/>
        <w:spacing w:before="120" w:beforeAutospacing="0" w:after="0" w:afterAutospacing="0" w:line="360" w:lineRule="auto"/>
        <w:ind w:left="0" w:right="0" w:firstLine="482"/>
        <w:jc w:val="both"/>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114300" cy="161925"/>
            <wp:effectExtent l="0" t="0" r="0" b="8255"/>
            <wp:docPr id="8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 descr="IMG_262"/>
                    <pic:cNvPicPr>
                      <a:picLocks noChangeAspect="1"/>
                    </pic:cNvPicPr>
                  </pic:nvPicPr>
                  <pic:blipFill>
                    <a:blip r:embed="rId10"/>
                    <a:stretch>
                      <a:fillRect/>
                    </a:stretch>
                  </pic:blipFill>
                  <pic:spPr>
                    <a:xfrm>
                      <a:off x="0" y="0"/>
                      <a:ext cx="114300" cy="161925"/>
                    </a:xfrm>
                    <a:prstGeom prst="rect">
                      <a:avLst/>
                    </a:prstGeom>
                    <a:noFill/>
                    <a:ln w="9525">
                      <a:noFill/>
                    </a:ln>
                  </pic:spPr>
                </pic:pic>
              </a:graphicData>
            </a:graphic>
          </wp:inline>
        </w:drawing>
      </w:r>
      <w:r>
        <w:rPr>
          <w:rFonts w:hint="eastAsia" w:ascii="仿宋" w:hAnsi="仿宋" w:eastAsia="仿宋" w:cs="仿宋"/>
          <w:color w:val="333333"/>
          <w:sz w:val="24"/>
          <w:szCs w:val="24"/>
        </w:rPr>
        <w:t>：待估宗地地价</w:t>
      </w:r>
      <w:r>
        <w:rPr>
          <w:rFonts w:hint="eastAsia" w:ascii="仿宋" w:hAnsi="仿宋" w:eastAsia="仿宋" w:cs="仿宋"/>
          <w:color w:val="333333"/>
          <w:sz w:val="24"/>
          <w:szCs w:val="24"/>
          <w:bdr w:val="none" w:color="auto" w:sz="0" w:space="0"/>
        </w:rPr>
        <w:drawing>
          <wp:inline distT="0" distB="0" distL="114300" distR="114300">
            <wp:extent cx="161925" cy="238125"/>
            <wp:effectExtent l="0" t="0" r="9525" b="7620"/>
            <wp:docPr id="8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 descr="IMG_263"/>
                    <pic:cNvPicPr>
                      <a:picLocks noChangeAspect="1"/>
                    </pic:cNvPicPr>
                  </pic:nvPicPr>
                  <pic:blipFill>
                    <a:blip r:embed="rId11"/>
                    <a:stretch>
                      <a:fillRect/>
                    </a:stretch>
                  </pic:blipFill>
                  <pic:spPr>
                    <a:xfrm>
                      <a:off x="0" y="0"/>
                      <a:ext cx="161925" cy="238125"/>
                    </a:xfrm>
                    <a:prstGeom prst="rect">
                      <a:avLst/>
                    </a:prstGeom>
                    <a:noFill/>
                    <a:ln w="9525">
                      <a:noFill/>
                    </a:ln>
                  </pic:spPr>
                </pic:pic>
              </a:graphicData>
            </a:graphic>
          </wp:inline>
        </w:drawing>
      </w:r>
      <w:r>
        <w:rPr>
          <w:rFonts w:hint="eastAsia" w:ascii="仿宋" w:hAnsi="仿宋" w:eastAsia="仿宋" w:cs="仿宋"/>
          <w:color w:val="333333"/>
          <w:sz w:val="24"/>
          <w:szCs w:val="24"/>
        </w:rPr>
        <w:t>：某级别基准地价，</w:t>
      </w:r>
      <w:r>
        <w:rPr>
          <w:rFonts w:hint="eastAsia" w:ascii="仿宋" w:hAnsi="仿宋" w:eastAsia="仿宋" w:cs="仿宋"/>
          <w:color w:val="333333"/>
          <w:sz w:val="24"/>
          <w:szCs w:val="24"/>
          <w:bdr w:val="none" w:color="auto" w:sz="0" w:space="0"/>
        </w:rPr>
        <w:drawing>
          <wp:inline distT="0" distB="0" distL="114300" distR="114300">
            <wp:extent cx="171450" cy="238125"/>
            <wp:effectExtent l="0" t="0" r="0" b="7620"/>
            <wp:docPr id="84"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9" descr="IMG_264"/>
                    <pic:cNvPicPr>
                      <a:picLocks noChangeAspect="1"/>
                    </pic:cNvPicPr>
                  </pic:nvPicPr>
                  <pic:blipFill>
                    <a:blip r:embed="rId12"/>
                    <a:stretch>
                      <a:fillRect/>
                    </a:stretch>
                  </pic:blipFill>
                  <pic:spPr>
                    <a:xfrm>
                      <a:off x="0" y="0"/>
                      <a:ext cx="171450" cy="238125"/>
                    </a:xfrm>
                    <a:prstGeom prst="rect">
                      <a:avLst/>
                    </a:prstGeom>
                    <a:noFill/>
                    <a:ln w="9525">
                      <a:noFill/>
                    </a:ln>
                  </pic:spPr>
                </pic:pic>
              </a:graphicData>
            </a:graphic>
          </wp:inline>
        </w:drawing>
      </w:r>
      <w:r>
        <w:rPr>
          <w:rFonts w:hint="eastAsia" w:ascii="仿宋" w:hAnsi="仿宋" w:eastAsia="仿宋" w:cs="仿宋"/>
          <w:color w:val="333333"/>
          <w:sz w:val="24"/>
          <w:szCs w:val="24"/>
        </w:rPr>
        <w:t>容积率修正系数。</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表3-1-15 商服用地容积率修正系数表</w:t>
      </w:r>
    </w:p>
    <w:tbl>
      <w:tblPr>
        <w:tblW w:w="4898" w:type="pct"/>
        <w:tblInd w:w="0" w:type="dxa"/>
        <w:shd w:val="clear"/>
        <w:tblLayout w:type="autofit"/>
        <w:tblCellMar>
          <w:top w:w="0" w:type="dxa"/>
          <w:left w:w="0" w:type="dxa"/>
          <w:bottom w:w="0" w:type="dxa"/>
          <w:right w:w="0" w:type="dxa"/>
        </w:tblCellMar>
      </w:tblPr>
      <w:tblGrid>
        <w:gridCol w:w="1106"/>
        <w:gridCol w:w="1279"/>
        <w:gridCol w:w="1070"/>
        <w:gridCol w:w="884"/>
        <w:gridCol w:w="1389"/>
        <w:gridCol w:w="810"/>
        <w:gridCol w:w="811"/>
        <w:gridCol w:w="811"/>
      </w:tblGrid>
      <w:tr>
        <w:tblPrEx>
          <w:shd w:val="clear"/>
          <w:tblCellMar>
            <w:top w:w="0" w:type="dxa"/>
            <w:left w:w="0" w:type="dxa"/>
            <w:bottom w:w="0" w:type="dxa"/>
            <w:right w:w="0" w:type="dxa"/>
          </w:tblCellMar>
        </w:tblPrEx>
        <w:trPr>
          <w:trHeight w:val="332" w:hRule="atLeast"/>
        </w:trPr>
        <w:tc>
          <w:tcPr>
            <w:tcW w:w="677"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783"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≤0.8</w:t>
            </w:r>
          </w:p>
        </w:tc>
        <w:tc>
          <w:tcPr>
            <w:tcW w:w="655"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1</w:t>
            </w:r>
          </w:p>
        </w:tc>
        <w:tc>
          <w:tcPr>
            <w:tcW w:w="541"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1.2</w:t>
            </w:r>
          </w:p>
        </w:tc>
        <w:tc>
          <w:tcPr>
            <w:tcW w:w="850"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1.4</w:t>
            </w:r>
          </w:p>
        </w:tc>
        <w:tc>
          <w:tcPr>
            <w:tcW w:w="496"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1.6</w:t>
            </w:r>
          </w:p>
        </w:tc>
        <w:tc>
          <w:tcPr>
            <w:tcW w:w="496"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1.8</w:t>
            </w:r>
          </w:p>
        </w:tc>
        <w:tc>
          <w:tcPr>
            <w:tcW w:w="496" w:type="pct"/>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2</w:t>
            </w:r>
          </w:p>
        </w:tc>
      </w:tr>
      <w:tr>
        <w:tblPrEx>
          <w:tblCellMar>
            <w:top w:w="0" w:type="dxa"/>
            <w:left w:w="0" w:type="dxa"/>
            <w:bottom w:w="0" w:type="dxa"/>
            <w:right w:w="0" w:type="dxa"/>
          </w:tblCellMar>
        </w:tblPrEx>
        <w:trPr>
          <w:trHeight w:val="332" w:hRule="atLeast"/>
        </w:trPr>
        <w:tc>
          <w:tcPr>
            <w:tcW w:w="677" w:type="pct"/>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783"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0.5536 </w:t>
            </w:r>
          </w:p>
        </w:tc>
        <w:tc>
          <w:tcPr>
            <w:tcW w:w="655"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0.6635 </w:t>
            </w:r>
          </w:p>
        </w:tc>
        <w:tc>
          <w:tcPr>
            <w:tcW w:w="541"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0.7507 </w:t>
            </w:r>
          </w:p>
        </w:tc>
        <w:tc>
          <w:tcPr>
            <w:tcW w:w="850"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0.8245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0.8853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0.9335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1.0000 </w:t>
            </w:r>
          </w:p>
        </w:tc>
      </w:tr>
      <w:tr>
        <w:tblPrEx>
          <w:tblCellMar>
            <w:top w:w="0" w:type="dxa"/>
            <w:left w:w="0" w:type="dxa"/>
            <w:bottom w:w="0" w:type="dxa"/>
            <w:right w:w="0" w:type="dxa"/>
          </w:tblCellMar>
        </w:tblPrEx>
        <w:trPr>
          <w:trHeight w:val="332" w:hRule="atLeast"/>
        </w:trPr>
        <w:tc>
          <w:tcPr>
            <w:tcW w:w="677" w:type="pct"/>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783"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2.2</w:t>
            </w:r>
          </w:p>
        </w:tc>
        <w:tc>
          <w:tcPr>
            <w:tcW w:w="655"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2.4</w:t>
            </w:r>
          </w:p>
        </w:tc>
        <w:tc>
          <w:tcPr>
            <w:tcW w:w="541"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2.6</w:t>
            </w:r>
          </w:p>
        </w:tc>
        <w:tc>
          <w:tcPr>
            <w:tcW w:w="850"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2.8</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3</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3.2</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3.6</w:t>
            </w:r>
          </w:p>
        </w:tc>
      </w:tr>
      <w:tr>
        <w:tblPrEx>
          <w:tblCellMar>
            <w:top w:w="0" w:type="dxa"/>
            <w:left w:w="0" w:type="dxa"/>
            <w:bottom w:w="0" w:type="dxa"/>
            <w:right w:w="0" w:type="dxa"/>
          </w:tblCellMar>
        </w:tblPrEx>
        <w:trPr>
          <w:trHeight w:val="332" w:hRule="atLeast"/>
        </w:trPr>
        <w:tc>
          <w:tcPr>
            <w:tcW w:w="677" w:type="pct"/>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783"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1.0955 </w:t>
            </w:r>
          </w:p>
        </w:tc>
        <w:tc>
          <w:tcPr>
            <w:tcW w:w="655"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1.1851 </w:t>
            </w:r>
          </w:p>
        </w:tc>
        <w:tc>
          <w:tcPr>
            <w:tcW w:w="541"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1.2576 </w:t>
            </w:r>
          </w:p>
        </w:tc>
        <w:tc>
          <w:tcPr>
            <w:tcW w:w="850"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1.3247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1.3872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1.4598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1.5827 </w:t>
            </w:r>
          </w:p>
        </w:tc>
      </w:tr>
      <w:tr>
        <w:tblPrEx>
          <w:tblCellMar>
            <w:top w:w="0" w:type="dxa"/>
            <w:left w:w="0" w:type="dxa"/>
            <w:bottom w:w="0" w:type="dxa"/>
            <w:right w:w="0" w:type="dxa"/>
          </w:tblCellMar>
        </w:tblPrEx>
        <w:trPr>
          <w:trHeight w:val="332" w:hRule="atLeast"/>
        </w:trPr>
        <w:tc>
          <w:tcPr>
            <w:tcW w:w="677" w:type="pct"/>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783"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3.8</w:t>
            </w:r>
          </w:p>
        </w:tc>
        <w:tc>
          <w:tcPr>
            <w:tcW w:w="655"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4</w:t>
            </w:r>
          </w:p>
        </w:tc>
        <w:tc>
          <w:tcPr>
            <w:tcW w:w="541"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4.2</w:t>
            </w:r>
          </w:p>
        </w:tc>
        <w:tc>
          <w:tcPr>
            <w:tcW w:w="850"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4.4</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4.6</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4.8</w:t>
            </w:r>
          </w:p>
        </w:tc>
        <w:tc>
          <w:tcPr>
            <w:tcW w:w="496" w:type="pct"/>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≥5</w:t>
            </w:r>
          </w:p>
        </w:tc>
      </w:tr>
      <w:tr>
        <w:tblPrEx>
          <w:tblCellMar>
            <w:top w:w="0" w:type="dxa"/>
            <w:left w:w="0" w:type="dxa"/>
            <w:bottom w:w="0" w:type="dxa"/>
            <w:right w:w="0" w:type="dxa"/>
          </w:tblCellMar>
        </w:tblPrEx>
        <w:trPr>
          <w:trHeight w:val="351" w:hRule="atLeast"/>
        </w:trPr>
        <w:tc>
          <w:tcPr>
            <w:tcW w:w="677" w:type="pct"/>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783"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1.6327 </w:t>
            </w:r>
          </w:p>
        </w:tc>
        <w:tc>
          <w:tcPr>
            <w:tcW w:w="655"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1.6962 </w:t>
            </w:r>
          </w:p>
        </w:tc>
        <w:tc>
          <w:tcPr>
            <w:tcW w:w="541"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1.7748 </w:t>
            </w:r>
          </w:p>
        </w:tc>
        <w:tc>
          <w:tcPr>
            <w:tcW w:w="850"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1.8360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1.8786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1.9194 </w:t>
            </w:r>
          </w:p>
        </w:tc>
        <w:tc>
          <w:tcPr>
            <w:tcW w:w="496" w:type="pct"/>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0"/>
                <w:szCs w:val="20"/>
              </w:rPr>
              <w:t xml:space="preserve">1.9586 </w:t>
            </w:r>
          </w:p>
        </w:tc>
      </w:tr>
    </w:tbl>
    <w:p>
      <w:pPr>
        <w:pStyle w:val="4"/>
        <w:keepNext w:val="0"/>
        <w:keepLines w:val="0"/>
        <w:widowControl/>
        <w:suppressLineNumbers w:val="0"/>
        <w:spacing w:before="156" w:beforeAutospacing="0" w:after="156"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（四）开发程度修正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六通一平”则作加价修正，如果待估宗地开发程度低于基准地价评估设定的“六通一平”则作减价修正。</w:t>
      </w:r>
    </w:p>
    <w:p>
      <w:pPr>
        <w:pStyle w:val="4"/>
        <w:keepNext w:val="0"/>
        <w:keepLines w:val="0"/>
        <w:widowControl/>
        <w:suppressLineNumbers w:val="0"/>
        <w:spacing w:before="156" w:beforeAutospacing="0" w:after="156"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（五）宗地地价评估</w:t>
      </w:r>
    </w:p>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3638550" cy="466725"/>
            <wp:effectExtent l="0" t="0" r="0" b="8255"/>
            <wp:docPr id="8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0" descr="IMG_265"/>
                    <pic:cNvPicPr>
                      <a:picLocks noChangeAspect="1"/>
                    </pic:cNvPicPr>
                  </pic:nvPicPr>
                  <pic:blipFill>
                    <a:blip r:embed="rId13"/>
                    <a:stretch>
                      <a:fillRect/>
                    </a:stretch>
                  </pic:blipFill>
                  <pic:spPr>
                    <a:xfrm>
                      <a:off x="0" y="0"/>
                      <a:ext cx="3638550"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both"/>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8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1" descr="IMG_266"/>
                    <pic:cNvPicPr>
                      <a:picLocks noChangeAspect="1"/>
                    </pic:cNvPicPr>
                  </pic:nvPicPr>
                  <pic:blipFill>
                    <a:blip r:embed="rId14"/>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：区域因素修正系数，</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0"/>
            <wp:docPr id="8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2" descr="IMG_267"/>
                    <pic:cNvPicPr>
                      <a:picLocks noChangeAspect="1"/>
                    </pic:cNvPicPr>
                  </pic:nvPicPr>
                  <pic:blipFill>
                    <a:blip r:embed="rId15"/>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：个别因素修正系数，</w:t>
      </w:r>
      <w:r>
        <w:rPr>
          <w:rFonts w:hint="eastAsia" w:ascii="仿宋" w:hAnsi="仿宋" w:eastAsia="仿宋" w:cs="仿宋"/>
          <w:color w:val="333333"/>
          <w:sz w:val="24"/>
          <w:szCs w:val="24"/>
          <w:bdr w:val="none" w:color="auto" w:sz="0" w:space="0"/>
        </w:rPr>
        <w:drawing>
          <wp:inline distT="0" distB="0" distL="114300" distR="114300">
            <wp:extent cx="104775" cy="133350"/>
            <wp:effectExtent l="0" t="0" r="9525" b="0"/>
            <wp:docPr id="80"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 descr="IMG_268"/>
                    <pic:cNvPicPr>
                      <a:picLocks noChangeAspect="1"/>
                    </pic:cNvPicPr>
                  </pic:nvPicPr>
                  <pic:blipFill>
                    <a:blip r:embed="rId16"/>
                    <a:stretch>
                      <a:fillRect/>
                    </a:stretch>
                  </pic:blipFill>
                  <pic:spPr>
                    <a:xfrm>
                      <a:off x="0" y="0"/>
                      <a:ext cx="104775"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：其他因素修正系数，</w:t>
      </w:r>
      <w:r>
        <w:rPr>
          <w:rFonts w:hint="eastAsia" w:ascii="仿宋" w:hAnsi="仿宋" w:eastAsia="仿宋" w:cs="仿宋"/>
          <w:color w:val="333333"/>
          <w:sz w:val="24"/>
          <w:szCs w:val="24"/>
          <w:bdr w:val="none" w:color="auto" w:sz="0" w:space="0"/>
        </w:rPr>
        <w:drawing>
          <wp:inline distT="0" distB="0" distL="114300" distR="114300">
            <wp:extent cx="123825" cy="161925"/>
            <wp:effectExtent l="0" t="0" r="0" b="0"/>
            <wp:docPr id="79"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4" descr="IMG_269"/>
                    <pic:cNvPicPr>
                      <a:picLocks noChangeAspect="1"/>
                    </pic:cNvPicPr>
                  </pic:nvPicPr>
                  <pic:blipFill>
                    <a:blip r:embed="rId15"/>
                    <a:stretch>
                      <a:fillRect/>
                    </a:stretch>
                  </pic:blipFill>
                  <pic:spPr>
                    <a:xfrm>
                      <a:off x="0" y="0"/>
                      <a:ext cx="123825" cy="161925"/>
                    </a:xfrm>
                    <a:prstGeom prst="rect">
                      <a:avLst/>
                    </a:prstGeom>
                    <a:noFill/>
                    <a:ln w="9525">
                      <a:noFill/>
                    </a:ln>
                  </pic:spPr>
                </pic:pic>
              </a:graphicData>
            </a:graphic>
          </wp:inline>
        </w:drawing>
      </w:r>
      <w:r>
        <w:rPr>
          <w:rFonts w:hint="eastAsia" w:ascii="仿宋" w:hAnsi="仿宋" w:eastAsia="仿宋" w:cs="仿宋"/>
          <w:color w:val="333333"/>
          <w:sz w:val="24"/>
          <w:szCs w:val="24"/>
        </w:rPr>
        <w:t>：开发程度修正，</w:t>
      </w:r>
      <w:r>
        <w:rPr>
          <w:rFonts w:hint="eastAsia" w:ascii="仿宋" w:hAnsi="仿宋" w:eastAsia="仿宋" w:cs="仿宋"/>
          <w:color w:val="333333"/>
          <w:sz w:val="24"/>
          <w:szCs w:val="24"/>
          <w:bdr w:val="none" w:color="auto" w:sz="0" w:space="0"/>
        </w:rPr>
        <w:drawing>
          <wp:inline distT="0" distB="0" distL="114300" distR="114300">
            <wp:extent cx="47625" cy="161925"/>
            <wp:effectExtent l="0" t="0" r="9525" b="8255"/>
            <wp:docPr id="7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5" descr="IMG_270"/>
                    <pic:cNvPicPr>
                      <a:picLocks noChangeAspect="1"/>
                    </pic:cNvPicPr>
                  </pic:nvPicPr>
                  <pic:blipFill>
                    <a:blip r:embed="rId17"/>
                    <a:stretch>
                      <a:fillRect/>
                    </a:stretch>
                  </pic:blipFill>
                  <pic:spPr>
                    <a:xfrm>
                      <a:off x="0" y="0"/>
                      <a:ext cx="47625" cy="161925"/>
                    </a:xfrm>
                    <a:prstGeom prst="rect">
                      <a:avLst/>
                    </a:prstGeom>
                    <a:noFill/>
                    <a:ln w="9525">
                      <a:noFill/>
                    </a:ln>
                  </pic:spPr>
                </pic:pic>
              </a:graphicData>
            </a:graphic>
          </wp:inline>
        </w:drawing>
      </w:r>
      <w:r>
        <w:rPr>
          <w:rFonts w:hint="eastAsia" w:ascii="仿宋" w:hAnsi="仿宋" w:eastAsia="仿宋" w:cs="仿宋"/>
          <w:color w:val="333333"/>
          <w:sz w:val="24"/>
          <w:szCs w:val="24"/>
        </w:rPr>
        <w:t>：区域因素个数；</w:t>
      </w:r>
      <w:r>
        <w:rPr>
          <w:rFonts w:hint="eastAsia" w:ascii="仿宋" w:hAnsi="仿宋" w:eastAsia="仿宋" w:cs="仿宋"/>
          <w:color w:val="333333"/>
          <w:sz w:val="24"/>
          <w:szCs w:val="24"/>
          <w:bdr w:val="none" w:color="auto" w:sz="0" w:space="0"/>
        </w:rPr>
        <w:drawing>
          <wp:inline distT="0" distB="0" distL="114300" distR="114300">
            <wp:extent cx="95250" cy="180975"/>
            <wp:effectExtent l="0" t="0" r="0" b="0"/>
            <wp:docPr id="77"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6" descr="IMG_271"/>
                    <pic:cNvPicPr>
                      <a:picLocks noChangeAspect="1"/>
                    </pic:cNvPicPr>
                  </pic:nvPicPr>
                  <pic:blipFill>
                    <a:blip r:embed="rId15"/>
                    <a:stretch>
                      <a:fillRect/>
                    </a:stretch>
                  </pic:blipFill>
                  <pic:spPr>
                    <a:xfrm>
                      <a:off x="0" y="0"/>
                      <a:ext cx="95250" cy="180975"/>
                    </a:xfrm>
                    <a:prstGeom prst="rect">
                      <a:avLst/>
                    </a:prstGeom>
                    <a:noFill/>
                    <a:ln w="9525">
                      <a:noFill/>
                    </a:ln>
                  </pic:spPr>
                </pic:pic>
              </a:graphicData>
            </a:graphic>
          </wp:inline>
        </w:drawing>
      </w:r>
      <w:r>
        <w:rPr>
          <w:rFonts w:hint="eastAsia" w:ascii="仿宋" w:hAnsi="仿宋" w:eastAsia="仿宋" w:cs="仿宋"/>
          <w:color w:val="333333"/>
          <w:sz w:val="24"/>
          <w:szCs w:val="24"/>
        </w:rPr>
        <w:t>，个别因素个数，</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8255"/>
            <wp:docPr id="75"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7" descr="IMG_272"/>
                    <pic:cNvPicPr>
                      <a:picLocks noChangeAspect="1"/>
                    </pic:cNvPicPr>
                  </pic:nvPicPr>
                  <pic:blipFill>
                    <a:blip r:embed="rId18"/>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：其他因素个数。</w:t>
      </w:r>
    </w:p>
    <w:p>
      <w:pPr>
        <w:pStyle w:val="4"/>
        <w:keepNext/>
        <w:keepLines w:val="0"/>
        <w:widowControl/>
        <w:suppressLineNumbers w:val="0"/>
        <w:spacing w:before="120" w:beforeAutospacing="0" w:after="12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30"/>
          <w:szCs w:val="30"/>
        </w:rPr>
        <w:t>第二节 商务金融、旅馆用地基准地价修正体系</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一、商务金融、旅馆用地宗地地价影响因素修正</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表3-2-1  南昌市城区一级商务金融、旅馆用地宗地地价修正系数表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28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3.31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1.65</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-0.93</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-1.85</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2.99</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1.50</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-0.84</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-1.68</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0.76</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-0.43</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1.18</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0.59</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-0.33</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1.18</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0.59</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-0.33</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0.36</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-0.40</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0.58</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0.29</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-0.16</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-0.33</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1.36</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0.68</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-0.38</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0.67</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-0.38</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-0.75</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1.38</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0.69</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-0.39</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-0.77</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0.42</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-0.24</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-0.47</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0.57</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0.28</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-0.16</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-0.32</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1.06</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0.53</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-0.60</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0.47</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-0.26</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-0.52</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0.41</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-0.23</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0.37</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0.18</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0.17</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0.28</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0.14</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-0.08</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-0.16</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0.07</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0.03</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-0.02</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-0.04</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0.09</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0.04</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-0.02</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-0.05</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0.09</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0.04</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-0.02</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-0.05</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0.03</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-0.01</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-0.03</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0.03</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-0.01</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-0.03</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0.12</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-0.07</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-0.14</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0.35</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0.17</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-0.19</w:t>
            </w:r>
          </w:p>
        </w:tc>
      </w:tr>
      <w:tr>
        <w:tblPrEx>
          <w:tblCellMar>
            <w:top w:w="0" w:type="dxa"/>
            <w:left w:w="0" w:type="dxa"/>
            <w:bottom w:w="0" w:type="dxa"/>
            <w:right w:w="0" w:type="dxa"/>
          </w:tblCellMar>
        </w:tblPrEx>
        <w:trPr>
          <w:trHeight w:val="30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2.53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1.27</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-0.71</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-1.42</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3.11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1.55</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-0.87</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-1.74</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0.91</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-0.51</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-1.02</w:t>
            </w:r>
          </w:p>
        </w:tc>
      </w:tr>
    </w:tbl>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表3-2-2  南昌市城区一级商务金融、旅馆用地宗地地价修正系数说明表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79"/>
        <w:gridCol w:w="1564"/>
        <w:gridCol w:w="1085"/>
        <w:gridCol w:w="1323"/>
        <w:gridCol w:w="1323"/>
        <w:gridCol w:w="1327"/>
        <w:gridCol w:w="142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tblHeader/>
          <w:jc w:val="center"/>
        </w:trPr>
        <w:tc>
          <w:tcPr>
            <w:tcW w:w="1198"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3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7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7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7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83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52" w:hRule="atLeast"/>
          <w:jc w:val="center"/>
        </w:trPr>
        <w:tc>
          <w:tcPr>
            <w:tcW w:w="28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0～700米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701～1250米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1251～1800米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1801～2350米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0～700米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701～1250米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1251～1800米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1801～2350米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101～300米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301～500米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501～800米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0～800米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801～1400米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1401～2000米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2001～2600米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1001～2000米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1001～2000米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0～800米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801～1400米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1401～2000米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2001～2600米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1001～2000米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7"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58" w:hRule="atLeast"/>
          <w:jc w:val="center"/>
        </w:trPr>
        <w:tc>
          <w:tcPr>
            <w:tcW w:w="28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58"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2" w:hRule="atLeast"/>
          <w:jc w:val="center"/>
        </w:trPr>
        <w:tc>
          <w:tcPr>
            <w:tcW w:w="28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宗地临街位置</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表3-2-3 南昌市城区二级商务金融、旅馆用地宗地地价修正系数表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28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3.27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2.96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-0.70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r>
      <w:tr>
        <w:tblPrEx>
          <w:tblCellMar>
            <w:top w:w="0" w:type="dxa"/>
            <w:left w:w="0" w:type="dxa"/>
            <w:bottom w:w="0" w:type="dxa"/>
            <w:right w:w="0" w:type="dxa"/>
          </w:tblCellMar>
        </w:tblPrEx>
        <w:trPr>
          <w:trHeight w:val="27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2.51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-1.16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3.08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-1.43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r>
    </w:tbl>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表3-2-4 南昌市城区二级商务金融、旅馆用地宗地地价修正系数说明表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16"/>
        <w:gridCol w:w="1612"/>
        <w:gridCol w:w="1024"/>
        <w:gridCol w:w="1313"/>
        <w:gridCol w:w="1313"/>
        <w:gridCol w:w="1313"/>
        <w:gridCol w:w="153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94" w:hRule="atLeast"/>
          <w:jc w:val="center"/>
        </w:trPr>
        <w:tc>
          <w:tcPr>
            <w:tcW w:w="1186"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0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7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7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7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8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6" w:hRule="atLeast"/>
          <w:jc w:val="center"/>
        </w:trPr>
        <w:tc>
          <w:tcPr>
            <w:tcW w:w="239"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0～1600米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1601～2200米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2201～2800米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2801～3400米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&gt;3400米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0～1600米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1601～2200米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2201～2800米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2801～3400米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&gt;3400米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201～400米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401～600米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601～1000米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0～1400米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1401～2050米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2051～2700米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2701～3350米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4001～5000米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4001～5000米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0～1400米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1401～2050米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2051～2700米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2701～3350米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2001～3000米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3001～4000米</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4001～5000米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239"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 w:hRule="atLeast"/>
          <w:jc w:val="center"/>
        </w:trPr>
        <w:tc>
          <w:tcPr>
            <w:tcW w:w="239"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宗地临街位置</w:t>
            </w:r>
          </w:p>
        </w:tc>
        <w:tc>
          <w:tcPr>
            <w:tcW w:w="60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7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表3-2-5  南昌市城区三级商务金融、旅馆用地宗地地价修正系数表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劣</w:t>
            </w:r>
          </w:p>
        </w:tc>
      </w:tr>
      <w:tr>
        <w:tblPrEx>
          <w:tblCellMar>
            <w:top w:w="0" w:type="dxa"/>
            <w:left w:w="0" w:type="dxa"/>
            <w:bottom w:w="0" w:type="dxa"/>
            <w:right w:w="0" w:type="dxa"/>
          </w:tblCellMar>
        </w:tblPrEx>
        <w:trPr>
          <w:trHeight w:val="28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2.90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-1.50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2.62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-1.35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-0.69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-0.61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r>
      <w:tr>
        <w:tblPrEx>
          <w:tblCellMar>
            <w:top w:w="0" w:type="dxa"/>
            <w:left w:w="0" w:type="dxa"/>
            <w:bottom w:w="0" w:type="dxa"/>
            <w:right w:w="0" w:type="dxa"/>
          </w:tblCellMar>
        </w:tblPrEx>
        <w:trPr>
          <w:trHeight w:val="27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2.22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-1.15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2.73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-1.41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r>
    </w:tbl>
    <w:p>
      <w:pPr>
        <w:pStyle w:val="4"/>
        <w:keepNext w:val="0"/>
        <w:keepLines w:val="0"/>
        <w:widowControl/>
        <w:suppressLineNumbers w:val="0"/>
        <w:spacing w:before="0" w:beforeAutospacing="0" w:after="0" w:afterAutospacing="0" w:line="400" w:lineRule="atLeast"/>
        <w:ind w:left="0" w:right="0" w:firstLine="48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02"/>
        <w:jc w:val="center"/>
        <w:rPr>
          <w:rFonts w:hint="default" w:ascii="Calibri" w:hAnsi="Calibri" w:cs="Calibri"/>
          <w:sz w:val="21"/>
          <w:szCs w:val="21"/>
        </w:rPr>
      </w:pPr>
      <w:r>
        <w:rPr>
          <w:rFonts w:hint="eastAsia" w:ascii="仿宋" w:hAnsi="仿宋" w:eastAsia="仿宋" w:cs="仿宋"/>
          <w:b/>
          <w:color w:val="333333"/>
          <w:sz w:val="20"/>
          <w:szCs w:val="20"/>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0"/>
          <w:szCs w:val="20"/>
          <w:bdr w:val="none" w:color="auto" w:sz="0" w:space="0"/>
        </w:rPr>
        <w:br w:type="page"/>
      </w:r>
      <w:r>
        <w:rPr>
          <w:rFonts w:hint="eastAsia" w:ascii="仿宋" w:hAnsi="仿宋" w:eastAsia="仿宋" w:cs="仿宋"/>
          <w:b/>
          <w:color w:val="333333"/>
          <w:sz w:val="20"/>
          <w:szCs w:val="20"/>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表3-2-6南昌市城区三级商务金融、旅馆用地宗地地价修正系数说明表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36"/>
        <w:gridCol w:w="1617"/>
        <w:gridCol w:w="1085"/>
        <w:gridCol w:w="1366"/>
        <w:gridCol w:w="1366"/>
        <w:gridCol w:w="1366"/>
        <w:gridCol w:w="12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Header/>
          <w:jc w:val="center"/>
        </w:trPr>
        <w:tc>
          <w:tcPr>
            <w:tcW w:w="1204"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3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80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80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80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54"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距离商务办公集聚中心距离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2501～3150米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3151～3800米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3801～4450米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&gt;4450米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2501～3150米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3151～3800米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3801～4450米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&gt;4450米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301～500米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801～1500米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2001～2700米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2701～3400米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3401～4100米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&gt;4100米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2501～3500米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2501～3500米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2001～2700米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2701～3400米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3401～4100米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&gt;4100米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2501～3500米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68" w:hRule="atLeast"/>
          <w:jc w:val="center"/>
        </w:trPr>
        <w:tc>
          <w:tcPr>
            <w:tcW w:w="2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4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宗地临街位置</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7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0"/>
          <w:szCs w:val="20"/>
          <w:bdr w:val="none" w:color="auto" w:sz="0" w:space="0"/>
        </w:rPr>
        <w:br w:type="page"/>
      </w:r>
      <w:r>
        <w:rPr>
          <w:rFonts w:hint="eastAsia" w:ascii="仿宋" w:hAnsi="仿宋" w:eastAsia="仿宋" w:cs="仿宋"/>
          <w:b/>
          <w:color w:val="333333"/>
          <w:sz w:val="20"/>
          <w:szCs w:val="20"/>
        </w:rPr>
        <w:t> </w:t>
      </w:r>
    </w:p>
    <w:p>
      <w:pPr>
        <w:pStyle w:val="4"/>
        <w:keepNext w:val="0"/>
        <w:keepLines w:val="0"/>
        <w:widowControl/>
        <w:suppressLineNumbers w:val="0"/>
        <w:spacing w:before="0" w:beforeAutospacing="0" w:after="0" w:afterAutospacing="0" w:line="440" w:lineRule="atLeast"/>
        <w:ind w:left="0" w:right="0" w:firstLine="402"/>
        <w:jc w:val="center"/>
        <w:rPr>
          <w:rFonts w:hint="default" w:ascii="Calibri" w:hAnsi="Calibri" w:cs="Calibri"/>
          <w:sz w:val="21"/>
          <w:szCs w:val="21"/>
        </w:rPr>
      </w:pPr>
      <w:r>
        <w:rPr>
          <w:rFonts w:hint="eastAsia" w:ascii="仿宋" w:hAnsi="仿宋" w:eastAsia="仿宋" w:cs="仿宋"/>
          <w:b/>
          <w:color w:val="333333"/>
          <w:sz w:val="20"/>
          <w:szCs w:val="20"/>
        </w:rPr>
        <w:t>表3-2-7南昌市城区四级商务金融、旅馆用地宗地地价修正系数表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28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2.61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2.36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28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r>
      <w:tr>
        <w:tblPrEx>
          <w:tblCellMar>
            <w:top w:w="0" w:type="dxa"/>
            <w:left w:w="0" w:type="dxa"/>
            <w:bottom w:w="0" w:type="dxa"/>
            <w:right w:w="0" w:type="dxa"/>
          </w:tblCellMar>
        </w:tblPrEx>
        <w:trPr>
          <w:trHeight w:val="27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2.00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-1.25 </w:t>
            </w:r>
          </w:p>
        </w:tc>
      </w:tr>
      <w:tr>
        <w:tblPrEx>
          <w:tblCellMar>
            <w:top w:w="0" w:type="dxa"/>
            <w:left w:w="0" w:type="dxa"/>
            <w:bottom w:w="0" w:type="dxa"/>
            <w:right w:w="0" w:type="dxa"/>
          </w:tblCellMar>
        </w:tblPrEx>
        <w:trPr>
          <w:trHeight w:val="27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2.45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1.23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-1.53 </w:t>
            </w:r>
          </w:p>
        </w:tc>
      </w:tr>
      <w:tr>
        <w:tblPrEx>
          <w:tblCellMar>
            <w:top w:w="0" w:type="dxa"/>
            <w:left w:w="0" w:type="dxa"/>
            <w:bottom w:w="0" w:type="dxa"/>
            <w:right w:w="0" w:type="dxa"/>
          </w:tblCellMar>
        </w:tblPrEx>
        <w:trPr>
          <w:trHeight w:val="183"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-0.89 </w:t>
            </w:r>
          </w:p>
        </w:tc>
      </w:tr>
    </w:tbl>
    <w:p>
      <w:pPr>
        <w:pStyle w:val="4"/>
        <w:keepNext w:val="0"/>
        <w:keepLines w:val="0"/>
        <w:widowControl/>
        <w:suppressLineNumbers w:val="0"/>
        <w:spacing w:before="0" w:beforeAutospacing="0" w:after="0" w:afterAutospacing="0" w:line="400" w:lineRule="atLeast"/>
        <w:ind w:left="0" w:right="0" w:firstLine="48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表3-2-8  南昌市城区四级商务金融、旅馆用地宗地地价修正系数说明表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17"/>
        <w:gridCol w:w="1661"/>
        <w:gridCol w:w="1057"/>
        <w:gridCol w:w="1352"/>
        <w:gridCol w:w="1352"/>
        <w:gridCol w:w="1352"/>
        <w:gridCol w:w="133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82" w:hRule="atLeast"/>
          <w:jc w:val="center"/>
        </w:trPr>
        <w:tc>
          <w:tcPr>
            <w:tcW w:w="1220"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2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8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3"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0～3400米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3401～4200米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4201～4900米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4901～5600米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0～3400米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3401～4200米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4201～4900米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4901～5600米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301～500米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0～2600米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2601～3350米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3351～4100米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4101～4850米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0～2600米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2601～3350米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3351～4100米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4101～4850米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&gt;4850米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3501～4500米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06"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宗地临街位置</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val="0"/>
        <w:keepLines w:val="0"/>
        <w:widowControl/>
        <w:suppressLineNumbers w:val="0"/>
        <w:spacing w:before="0" w:beforeAutospacing="0" w:after="0" w:afterAutospacing="0" w:line="400" w:lineRule="atLeast"/>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表3-2-9 南昌市城区五级商务金融、旅馆用地宗地地价修正系数表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31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2.07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-1.01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r>
      <w:tr>
        <w:tblPrEx>
          <w:tblCellMar>
            <w:top w:w="0" w:type="dxa"/>
            <w:left w:w="0" w:type="dxa"/>
            <w:bottom w:w="0" w:type="dxa"/>
            <w:right w:w="0" w:type="dxa"/>
          </w:tblCellMar>
        </w:tblPrEx>
        <w:trPr>
          <w:trHeight w:val="30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-0.86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-1.05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-0.61 </w:t>
            </w:r>
          </w:p>
        </w:tc>
      </w:tr>
    </w:tbl>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表3-2-10  南昌市城区五级商务金融、旅馆用地宗地地价修正系数说明表</w:t>
      </w:r>
    </w:p>
    <w:tbl>
      <w:tblPr>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17"/>
        <w:gridCol w:w="1661"/>
        <w:gridCol w:w="1057"/>
        <w:gridCol w:w="1352"/>
        <w:gridCol w:w="1352"/>
        <w:gridCol w:w="1352"/>
        <w:gridCol w:w="133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84" w:hRule="atLeast"/>
          <w:jc w:val="center"/>
        </w:trPr>
        <w:tc>
          <w:tcPr>
            <w:tcW w:w="1220"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2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9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8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8"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0～4300米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4301～5050米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5051～5800米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5801～6550米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&gt;6550米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0～4300米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4301～5050米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5051～5800米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5801～6550米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&gt;6550米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301～500米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0～3200米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3201～4000米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4001～4800米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4801～5600米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0～3200米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3201～4000米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4001～4800米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4801～5600米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&gt;5600米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0～4500米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4501～5500米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&gt;7500米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17"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6"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宗地临街位置</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7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val="0"/>
        <w:keepLines w:val="0"/>
        <w:widowControl/>
        <w:suppressLineNumbers w:val="0"/>
        <w:spacing w:before="0" w:beforeAutospacing="0" w:after="0" w:afterAutospacing="0" w:line="400" w:lineRule="atLeast"/>
        <w:ind w:left="0" w:right="0" w:firstLine="48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表3-2-11 南昌市城区六级商务金融、旅馆用地宗地地价修正系数表</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65" w:type="dxa"/>
        <w:tblInd w:w="0" w:type="dxa"/>
        <w:shd w:val="clear"/>
        <w:tblLayout w:type="autofit"/>
        <w:tblCellMar>
          <w:top w:w="0" w:type="dxa"/>
          <w:left w:w="0" w:type="dxa"/>
          <w:bottom w:w="0" w:type="dxa"/>
          <w:right w:w="0" w:type="dxa"/>
        </w:tblCellMar>
      </w:tblPr>
      <w:tblGrid>
        <w:gridCol w:w="1381"/>
        <w:gridCol w:w="3197"/>
        <w:gridCol w:w="998"/>
        <w:gridCol w:w="1075"/>
        <w:gridCol w:w="818"/>
        <w:gridCol w:w="998"/>
        <w:gridCol w:w="998"/>
      </w:tblGrid>
      <w:tr>
        <w:tblPrEx>
          <w:shd w:val="clear"/>
          <w:tblCellMar>
            <w:top w:w="0" w:type="dxa"/>
            <w:left w:w="0" w:type="dxa"/>
            <w:bottom w:w="0" w:type="dxa"/>
            <w:right w:w="0" w:type="dxa"/>
          </w:tblCellMar>
        </w:tblPrEx>
        <w:trPr>
          <w:trHeight w:val="285" w:hRule="atLeast"/>
        </w:trPr>
        <w:tc>
          <w:tcPr>
            <w:tcW w:w="457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9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315"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1.54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1.39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0.71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-0.29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-0.14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0.25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-0.26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0.17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-0.09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0.00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-0.07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-0.01 </w:t>
            </w:r>
          </w:p>
        </w:tc>
      </w:tr>
      <w:tr>
        <w:tblPrEx>
          <w:tblCellMar>
            <w:top w:w="0" w:type="dxa"/>
            <w:left w:w="0" w:type="dxa"/>
            <w:bottom w:w="0" w:type="dxa"/>
            <w:right w:w="0" w:type="dxa"/>
          </w:tblCellMar>
        </w:tblPrEx>
        <w:trPr>
          <w:trHeight w:val="315"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0.12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-0.03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-0.06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治安状况（定级分值）</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0.16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-0.04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-0.08 </w:t>
            </w:r>
          </w:p>
        </w:tc>
      </w:tr>
      <w:tr>
        <w:tblPrEx>
          <w:tblCellMar>
            <w:top w:w="0" w:type="dxa"/>
            <w:left w:w="0" w:type="dxa"/>
            <w:bottom w:w="0" w:type="dxa"/>
            <w:right w:w="0" w:type="dxa"/>
          </w:tblCellMar>
        </w:tblPrEx>
        <w:trPr>
          <w:trHeight w:val="300" w:hRule="atLeast"/>
        </w:trPr>
        <w:tc>
          <w:tcPr>
            <w:tcW w:w="13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面积</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1.18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0.59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形状</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1.45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-0.76 </w:t>
            </w:r>
          </w:p>
        </w:tc>
      </w:tr>
      <w:tr>
        <w:tblPrEx>
          <w:tblCellMar>
            <w:top w:w="0" w:type="dxa"/>
            <w:left w:w="0" w:type="dxa"/>
            <w:bottom w:w="0" w:type="dxa"/>
            <w:right w:w="0" w:type="dxa"/>
          </w:tblCellMar>
        </w:tblPrEx>
        <w:trPr>
          <w:trHeight w:val="300" w:hRule="atLeast"/>
        </w:trPr>
        <w:tc>
          <w:tcPr>
            <w:tcW w:w="13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9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宗地临街位置</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0.85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0.42 </w:t>
            </w:r>
          </w:p>
        </w:tc>
        <w:tc>
          <w:tcPr>
            <w:tcW w:w="8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99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-0.44 </w:t>
            </w:r>
          </w:p>
        </w:tc>
      </w:tr>
    </w:tbl>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40" w:lineRule="atLeast"/>
        <w:ind w:left="0" w:right="0" w:firstLine="420"/>
        <w:jc w:val="right"/>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00" w:lineRule="atLeast"/>
        <w:ind w:left="0" w:right="0" w:firstLine="0"/>
        <w:jc w:val="left"/>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表3-2-12 南昌市城区六级商务金融、旅馆用地宗地地价修正系数说明表</w:t>
      </w:r>
    </w:p>
    <w:tbl>
      <w:tblPr>
        <w:tblW w:w="5126"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29"/>
        <w:gridCol w:w="1704"/>
        <w:gridCol w:w="1085"/>
        <w:gridCol w:w="1384"/>
        <w:gridCol w:w="1384"/>
        <w:gridCol w:w="1384"/>
        <w:gridCol w:w="13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jc w:val="center"/>
        </w:trPr>
        <w:tc>
          <w:tcPr>
            <w:tcW w:w="121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2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9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9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9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8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因</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素</w:t>
            </w: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距离商务办公聚集中心距离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0～5200米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5201～6000米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6001～6800米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6801～7600米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&gt;7600米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距离金融服务业聚集中心距离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0～5200米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5201～6000米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6001～6800米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6801～7600米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&gt;7600米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道路通达度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距公交站距离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301～500米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501～800米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801～1500米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0～3800米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3801～4650米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4651～5500米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5501～6350米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距火车站、汽车站、机场距离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0～5500米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7501～8500米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距高速路口距离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0～5500米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7501～8500米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距规划地铁站距离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0～3800米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3801～4650米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4651～5500米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5501～6350米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&gt;6350米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距规划火车东站距离</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0～5500米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5501～6500米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6501～7500米</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7501～8500米</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规划功能区</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常住人口密度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流动人口密度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空气质量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噪声污染</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植被覆盖度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工程地质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水文地质</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地形平坦</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地势高低</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临山水景观状况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人文景观</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2"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治安状况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（定级分值）</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4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面积适中，对土地利用极为有利</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面积对土地利用较为有利</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面积对土地利用无不良影响</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面积较小或较大，对土地利用有一定影响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面积过小或过大，对土地利用产生严重的影响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形状规则，对土地利用极为有利</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形状较规则，对土地利用较为有利</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形状对土地利用无不良影响</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形状不规则，对土地利用有一定影响</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5" w:hRule="atLeast"/>
          <w:jc w:val="center"/>
        </w:trPr>
        <w:tc>
          <w:tcPr>
            <w:tcW w:w="24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7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宗地临街位置</w:t>
            </w:r>
          </w:p>
        </w:tc>
        <w:tc>
          <w:tcPr>
            <w:tcW w:w="62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三面临街</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两面临街</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一面临街距侧街五米内</w:t>
            </w:r>
          </w:p>
        </w:tc>
        <w:tc>
          <w:tcPr>
            <w:tcW w:w="7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一面临街距侧街五米外</w:t>
            </w:r>
          </w:p>
        </w:tc>
        <w:tc>
          <w:tcPr>
            <w:tcW w:w="78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不临街</w:t>
            </w:r>
          </w:p>
        </w:tc>
      </w:tr>
    </w:tbl>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二、商务金融、旅馆用地宗地地价其他因素修正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（一）使用年限修正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我国实行有偿、有期限、有流动的土地使用制度，因此土地使用期限的长短直接影响地价的高低。商务金融、旅馆用地土地使用权法定最高出让年限为40年，土地还原利率按不同年限实际求取，根据公式：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447800" cy="838200"/>
            <wp:effectExtent l="0" t="0" r="0" b="0"/>
            <wp:docPr id="74"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8" descr="IMG_273"/>
                    <pic:cNvPicPr>
                      <a:picLocks noChangeAspect="1"/>
                    </pic:cNvPicPr>
                  </pic:nvPicPr>
                  <pic:blipFill>
                    <a:blip r:embed="rId19"/>
                    <a:stretch>
                      <a:fillRect/>
                    </a:stretch>
                  </pic:blipFill>
                  <pic:spPr>
                    <a:xfrm>
                      <a:off x="0" y="0"/>
                      <a:ext cx="1447800" cy="83820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009650" cy="742950"/>
            <wp:effectExtent l="0" t="0" r="0" b="0"/>
            <wp:docPr id="7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9" descr="IMG_274"/>
                    <pic:cNvPicPr>
                      <a:picLocks noChangeAspect="1"/>
                    </pic:cNvPicPr>
                  </pic:nvPicPr>
                  <pic:blipFill>
                    <a:blip r:embed="rId20"/>
                    <a:stretch>
                      <a:fillRect/>
                    </a:stretch>
                  </pic:blipFill>
                  <pic:spPr>
                    <a:xfrm>
                      <a:off x="0" y="0"/>
                      <a:ext cx="1009650" cy="74295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0"/>
            <wp:docPr id="72"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0" descr="IMG_275"/>
                    <pic:cNvPicPr>
                      <a:picLocks noChangeAspect="1"/>
                    </pic:cNvPicPr>
                  </pic:nvPicPr>
                  <pic:blipFill>
                    <a:blip r:embed="rId15"/>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：—剩余土地使用权年限</w:t>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 xml:space="preserve">      </w:t>
      </w:r>
      <w:r>
        <w:rPr>
          <w:rFonts w:hint="eastAsia" w:ascii="仿宋" w:hAnsi="仿宋" w:eastAsia="仿宋" w:cs="仿宋"/>
          <w:color w:val="333333"/>
          <w:sz w:val="24"/>
          <w:szCs w:val="24"/>
          <w:bdr w:val="none" w:color="auto" w:sz="0" w:space="0"/>
        </w:rPr>
        <w:drawing>
          <wp:inline distT="0" distB="0" distL="114300" distR="114300">
            <wp:extent cx="85725" cy="161925"/>
            <wp:effectExtent l="0" t="0" r="0" b="0"/>
            <wp:docPr id="71"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1" descr="IMG_276"/>
                    <pic:cNvPicPr>
                      <a:picLocks noChangeAspect="1"/>
                    </pic:cNvPicPr>
                  </pic:nvPicPr>
                  <pic:blipFill>
                    <a:blip r:embed="rId15"/>
                    <a:stretch>
                      <a:fillRect/>
                    </a:stretch>
                  </pic:blipFill>
                  <pic:spPr>
                    <a:xfrm>
                      <a:off x="0" y="0"/>
                      <a:ext cx="85725" cy="161925"/>
                    </a:xfrm>
                    <a:prstGeom prst="rect">
                      <a:avLst/>
                    </a:prstGeom>
                    <a:noFill/>
                    <a:ln w="9525">
                      <a:noFill/>
                    </a:ln>
                  </pic:spPr>
                </pic:pic>
              </a:graphicData>
            </a:graphic>
          </wp:inline>
        </w:drawing>
      </w:r>
      <w:r>
        <w:rPr>
          <w:rFonts w:hint="eastAsia" w:ascii="仿宋" w:hAnsi="仿宋" w:eastAsia="仿宋" w:cs="仿宋"/>
          <w:color w:val="333333"/>
          <w:sz w:val="24"/>
          <w:szCs w:val="24"/>
        </w:rPr>
        <w:t>：—商务金融、旅馆用地土地还原利率</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（二）估价期日修正</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default" w:ascii="Calibri" w:hAnsi="Calibri" w:cs="Calibri"/>
          <w:color w:val="333333"/>
          <w:sz w:val="21"/>
          <w:szCs w:val="21"/>
          <w:bdr w:val="none" w:color="auto" w:sz="0" w:space="0"/>
        </w:rPr>
        <w:drawing>
          <wp:inline distT="0" distB="0" distL="114300" distR="114300">
            <wp:extent cx="3162300" cy="590550"/>
            <wp:effectExtent l="0" t="0" r="0" b="0"/>
            <wp:docPr id="70"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2" descr="IMG_277"/>
                    <pic:cNvPicPr>
                      <a:picLocks noChangeAspect="1"/>
                    </pic:cNvPicPr>
                  </pic:nvPicPr>
                  <pic:blipFill>
                    <a:blip r:embed="rId21"/>
                    <a:stretch>
                      <a:fillRect/>
                    </a:stretch>
                  </pic:blipFill>
                  <pic:spPr>
                    <a:xfrm>
                      <a:off x="0" y="0"/>
                      <a:ext cx="3162300" cy="590550"/>
                    </a:xfrm>
                    <a:prstGeom prst="rect">
                      <a:avLst/>
                    </a:prstGeom>
                    <a:noFill/>
                    <a:ln w="9525">
                      <a:noFill/>
                    </a:ln>
                  </pic:spPr>
                </pic:pic>
              </a:graphicData>
            </a:graphic>
          </wp:inline>
        </w:drawing>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（三）容积率修正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商务金融、旅馆用地容积率修正系数表及容积率修正公式如下：</w:t>
      </w:r>
    </w:p>
    <w:p>
      <w:pPr>
        <w:pStyle w:val="4"/>
        <w:keepNext w:val="0"/>
        <w:keepLines w:val="0"/>
        <w:widowControl/>
        <w:suppressLineNumbers w:val="0"/>
        <w:spacing w:before="120" w:beforeAutospacing="0" w:after="120" w:afterAutospacing="0" w:line="240" w:lineRule="auto"/>
        <w:ind w:left="840" w:right="0" w:firstLine="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742950" cy="209550"/>
            <wp:effectExtent l="0" t="0" r="0" b="0"/>
            <wp:docPr id="68"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3" descr="IMG_278"/>
                    <pic:cNvPicPr>
                      <a:picLocks noChangeAspect="1"/>
                    </pic:cNvPicPr>
                  </pic:nvPicPr>
                  <pic:blipFill>
                    <a:blip r:embed="rId15"/>
                    <a:stretch>
                      <a:fillRect/>
                    </a:stretch>
                  </pic:blipFill>
                  <pic:spPr>
                    <a:xfrm>
                      <a:off x="0" y="0"/>
                      <a:ext cx="742950" cy="20955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114300" cy="161925"/>
            <wp:effectExtent l="0" t="0" r="0" b="8255"/>
            <wp:docPr id="65"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4" descr="IMG_279"/>
                    <pic:cNvPicPr>
                      <a:picLocks noChangeAspect="1"/>
                    </pic:cNvPicPr>
                  </pic:nvPicPr>
                  <pic:blipFill>
                    <a:blip r:embed="rId10"/>
                    <a:stretch>
                      <a:fillRect/>
                    </a:stretch>
                  </pic:blipFill>
                  <pic:spPr>
                    <a:xfrm>
                      <a:off x="0" y="0"/>
                      <a:ext cx="114300" cy="161925"/>
                    </a:xfrm>
                    <a:prstGeom prst="rect">
                      <a:avLst/>
                    </a:prstGeom>
                    <a:noFill/>
                    <a:ln w="9525">
                      <a:noFill/>
                    </a:ln>
                  </pic:spPr>
                </pic:pic>
              </a:graphicData>
            </a:graphic>
          </wp:inline>
        </w:drawing>
      </w:r>
      <w:r>
        <w:rPr>
          <w:rFonts w:hint="eastAsia" w:ascii="仿宋" w:hAnsi="仿宋" w:eastAsia="仿宋" w:cs="仿宋"/>
          <w:color w:val="333333"/>
          <w:sz w:val="24"/>
          <w:szCs w:val="24"/>
        </w:rPr>
        <w:t>：待估宗地地价，</w:t>
      </w:r>
      <w:r>
        <w:rPr>
          <w:rFonts w:hint="eastAsia" w:ascii="仿宋" w:hAnsi="仿宋" w:eastAsia="仿宋" w:cs="仿宋"/>
          <w:color w:val="333333"/>
          <w:sz w:val="24"/>
          <w:szCs w:val="24"/>
          <w:bdr w:val="none" w:color="auto" w:sz="0" w:space="0"/>
        </w:rPr>
        <w:drawing>
          <wp:inline distT="0" distB="0" distL="114300" distR="114300">
            <wp:extent cx="161925" cy="209550"/>
            <wp:effectExtent l="0" t="0" r="0" b="0"/>
            <wp:docPr id="63"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5" descr="IMG_280"/>
                    <pic:cNvPicPr>
                      <a:picLocks noChangeAspect="1"/>
                    </pic:cNvPicPr>
                  </pic:nvPicPr>
                  <pic:blipFill>
                    <a:blip r:embed="rId15"/>
                    <a:stretch>
                      <a:fillRect/>
                    </a:stretch>
                  </pic:blipFill>
                  <pic:spPr>
                    <a:xfrm>
                      <a:off x="0" y="0"/>
                      <a:ext cx="161925" cy="209550"/>
                    </a:xfrm>
                    <a:prstGeom prst="rect">
                      <a:avLst/>
                    </a:prstGeom>
                    <a:noFill/>
                    <a:ln w="9525">
                      <a:noFill/>
                    </a:ln>
                  </pic:spPr>
                </pic:pic>
              </a:graphicData>
            </a:graphic>
          </wp:inline>
        </w:drawing>
      </w:r>
      <w:r>
        <w:rPr>
          <w:rFonts w:hint="eastAsia" w:ascii="仿宋" w:hAnsi="仿宋" w:eastAsia="仿宋" w:cs="仿宋"/>
          <w:color w:val="333333"/>
          <w:sz w:val="24"/>
          <w:szCs w:val="24"/>
        </w:rPr>
        <w:t>：某级别基准地价，</w:t>
      </w:r>
      <w:r>
        <w:rPr>
          <w:rFonts w:hint="eastAsia" w:ascii="仿宋" w:hAnsi="仿宋" w:eastAsia="仿宋" w:cs="仿宋"/>
          <w:color w:val="333333"/>
          <w:sz w:val="24"/>
          <w:szCs w:val="24"/>
          <w:bdr w:val="none" w:color="auto" w:sz="0" w:space="0"/>
        </w:rPr>
        <w:drawing>
          <wp:inline distT="0" distB="0" distL="114300" distR="114300">
            <wp:extent cx="171450" cy="209550"/>
            <wp:effectExtent l="0" t="0" r="0" b="0"/>
            <wp:docPr id="62"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6" descr="IMG_281"/>
                    <pic:cNvPicPr>
                      <a:picLocks noChangeAspect="1"/>
                    </pic:cNvPicPr>
                  </pic:nvPicPr>
                  <pic:blipFill>
                    <a:blip r:embed="rId22"/>
                    <a:stretch>
                      <a:fillRect/>
                    </a:stretch>
                  </pic:blipFill>
                  <pic:spPr>
                    <a:xfrm>
                      <a:off x="0" y="0"/>
                      <a:ext cx="171450" cy="209550"/>
                    </a:xfrm>
                    <a:prstGeom prst="rect">
                      <a:avLst/>
                    </a:prstGeom>
                    <a:noFill/>
                    <a:ln w="9525">
                      <a:noFill/>
                    </a:ln>
                  </pic:spPr>
                </pic:pic>
              </a:graphicData>
            </a:graphic>
          </wp:inline>
        </w:drawing>
      </w:r>
      <w:r>
        <w:rPr>
          <w:rFonts w:hint="eastAsia" w:ascii="仿宋" w:hAnsi="仿宋" w:eastAsia="仿宋" w:cs="仿宋"/>
          <w:color w:val="333333"/>
          <w:sz w:val="24"/>
          <w:szCs w:val="24"/>
        </w:rPr>
        <w:t>容积率修正系数。</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482"/>
        <w:jc w:val="center"/>
        <w:rPr>
          <w:rFonts w:hint="default" w:ascii="Calibri" w:hAnsi="Calibri" w:cs="Calibri"/>
          <w:sz w:val="21"/>
          <w:szCs w:val="21"/>
        </w:rPr>
      </w:pPr>
      <w:r>
        <w:rPr>
          <w:rFonts w:hint="eastAsia" w:ascii="仿宋" w:hAnsi="仿宋" w:eastAsia="仿宋" w:cs="仿宋"/>
          <w:b/>
          <w:color w:val="333333"/>
          <w:sz w:val="24"/>
          <w:szCs w:val="24"/>
        </w:rPr>
        <w:t>表3-2-13 商务金融、旅馆用地样点容积率修正系数表</w:t>
      </w:r>
    </w:p>
    <w:tbl>
      <w:tblPr>
        <w:tblW w:w="9465" w:type="dxa"/>
        <w:tblInd w:w="0" w:type="dxa"/>
        <w:shd w:val="clear"/>
        <w:tblLayout w:type="autofit"/>
        <w:tblCellMar>
          <w:top w:w="0" w:type="dxa"/>
          <w:left w:w="0" w:type="dxa"/>
          <w:bottom w:w="0" w:type="dxa"/>
          <w:right w:w="0" w:type="dxa"/>
        </w:tblCellMar>
      </w:tblPr>
      <w:tblGrid>
        <w:gridCol w:w="1183"/>
        <w:gridCol w:w="1184"/>
        <w:gridCol w:w="1183"/>
        <w:gridCol w:w="1183"/>
        <w:gridCol w:w="1183"/>
        <w:gridCol w:w="1183"/>
        <w:gridCol w:w="1183"/>
        <w:gridCol w:w="1183"/>
      </w:tblGrid>
      <w:tr>
        <w:tblPrEx>
          <w:shd w:val="clear"/>
          <w:tblCellMar>
            <w:top w:w="0" w:type="dxa"/>
            <w:left w:w="0" w:type="dxa"/>
            <w:bottom w:w="0" w:type="dxa"/>
            <w:right w:w="0" w:type="dxa"/>
          </w:tblCellMar>
        </w:tblPrEx>
        <w:trPr>
          <w:trHeight w:val="285" w:hRule="atLeast"/>
        </w:trPr>
        <w:tc>
          <w:tcPr>
            <w:tcW w:w="118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容积率</w:t>
            </w:r>
          </w:p>
        </w:tc>
        <w:tc>
          <w:tcPr>
            <w:tcW w:w="118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修正系数</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容积率</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修正系数</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容积率</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修正系数</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容积率</w:t>
            </w:r>
          </w:p>
        </w:tc>
        <w:tc>
          <w:tcPr>
            <w:tcW w:w="11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修正系数</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0.962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1.378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1.724</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0.554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0.986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1.401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1.745</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0.578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1.424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1.766</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0.602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1.034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1.447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1.787</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0.626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1.058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1.808</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1.082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1.472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1.829</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0.674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1.106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1.494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1.83</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0.698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1.516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1.83</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0.722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1.154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1.538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1.85</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0.746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1.178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1.87</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1.202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1.582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1.89</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2.1</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0.794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1.226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1.604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1.91</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2.2</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0.818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1.626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1.93</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2.3</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0.842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1.263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1.648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7.7</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1.95</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2.4</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0.866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1.286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1.655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1.97</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2.5</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1.309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1.661</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7.9</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1.99</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2.6</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0.914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4.4</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1.332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1.682</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w:t>
            </w:r>
          </w:p>
        </w:tc>
      </w:tr>
      <w:tr>
        <w:tblPrEx>
          <w:tblCellMar>
            <w:top w:w="0" w:type="dxa"/>
            <w:left w:w="0" w:type="dxa"/>
            <w:bottom w:w="0" w:type="dxa"/>
            <w:right w:w="0" w:type="dxa"/>
          </w:tblCellMar>
        </w:tblPrEx>
        <w:trPr>
          <w:trHeight w:val="285" w:hRule="atLeast"/>
        </w:trPr>
        <w:tc>
          <w:tcPr>
            <w:tcW w:w="118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2.7</w:t>
            </w:r>
          </w:p>
        </w:tc>
        <w:tc>
          <w:tcPr>
            <w:tcW w:w="118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0.938</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1.355</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1.703</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w:t>
            </w:r>
          </w:p>
        </w:tc>
        <w:tc>
          <w:tcPr>
            <w:tcW w:w="118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w:t>
            </w:r>
          </w:p>
        </w:tc>
      </w:tr>
    </w:tbl>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（四）开发程度修正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六通一平”则作加价修正，如果待估宗地开发程度低于基准地价评估设定的“六通一平”则作减价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（五）宗地地价评估</w:t>
      </w:r>
    </w:p>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3095625" cy="466725"/>
            <wp:effectExtent l="0" t="0" r="0" b="0"/>
            <wp:docPr id="85"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7" descr="IMG_282"/>
                    <pic:cNvPicPr>
                      <a:picLocks noChangeAspect="1"/>
                    </pic:cNvPicPr>
                  </pic:nvPicPr>
                  <pic:blipFill>
                    <a:blip r:embed="rId15"/>
                    <a:stretch>
                      <a:fillRect/>
                    </a:stretch>
                  </pic:blipFill>
                  <pic:spPr>
                    <a:xfrm>
                      <a:off x="0" y="0"/>
                      <a:ext cx="3095625"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8255"/>
            <wp:docPr id="58"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8" descr="IMG_283"/>
                    <pic:cNvPicPr>
                      <a:picLocks noChangeAspect="1"/>
                    </pic:cNvPicPr>
                  </pic:nvPicPr>
                  <pic:blipFill>
                    <a:blip r:embed="rId23"/>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：区域因素修正系数，</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7620"/>
            <wp:docPr id="57"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9" descr="IMG_284"/>
                    <pic:cNvPicPr>
                      <a:picLocks noChangeAspect="1"/>
                    </pic:cNvPicPr>
                  </pic:nvPicPr>
                  <pic:blipFill>
                    <a:blip r:embed="rId24"/>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：个别因素修正系数，</w:t>
      </w:r>
      <w:r>
        <w:rPr>
          <w:rFonts w:hint="eastAsia" w:ascii="仿宋" w:hAnsi="仿宋" w:eastAsia="仿宋" w:cs="仿宋"/>
          <w:color w:val="333333"/>
          <w:sz w:val="24"/>
          <w:szCs w:val="24"/>
          <w:bdr w:val="none" w:color="auto" w:sz="0" w:space="0"/>
        </w:rPr>
        <w:drawing>
          <wp:inline distT="0" distB="0" distL="114300" distR="114300">
            <wp:extent cx="133350" cy="161925"/>
            <wp:effectExtent l="0" t="0" r="0" b="8255"/>
            <wp:docPr id="56"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0" descr="IMG_285"/>
                    <pic:cNvPicPr>
                      <a:picLocks noChangeAspect="1"/>
                    </pic:cNvPicPr>
                  </pic:nvPicPr>
                  <pic:blipFill>
                    <a:blip r:embed="rId25"/>
                    <a:stretch>
                      <a:fillRect/>
                    </a:stretch>
                  </pic:blipFill>
                  <pic:spPr>
                    <a:xfrm>
                      <a:off x="0" y="0"/>
                      <a:ext cx="133350" cy="161925"/>
                    </a:xfrm>
                    <a:prstGeom prst="rect">
                      <a:avLst/>
                    </a:prstGeom>
                    <a:noFill/>
                    <a:ln w="9525">
                      <a:noFill/>
                    </a:ln>
                  </pic:spPr>
                </pic:pic>
              </a:graphicData>
            </a:graphic>
          </wp:inline>
        </w:drawing>
      </w:r>
      <w:r>
        <w:rPr>
          <w:rFonts w:hint="eastAsia" w:ascii="仿宋" w:hAnsi="仿宋" w:eastAsia="仿宋" w:cs="仿宋"/>
          <w:color w:val="333333"/>
          <w:sz w:val="24"/>
          <w:szCs w:val="24"/>
        </w:rPr>
        <w:t>：其他因素修正系数，</w:t>
      </w:r>
      <w:r>
        <w:rPr>
          <w:rFonts w:hint="eastAsia" w:ascii="仿宋" w:hAnsi="仿宋" w:eastAsia="仿宋" w:cs="仿宋"/>
          <w:color w:val="333333"/>
          <w:sz w:val="24"/>
          <w:szCs w:val="24"/>
          <w:bdr w:val="none" w:color="auto" w:sz="0" w:space="0"/>
        </w:rPr>
        <w:drawing>
          <wp:inline distT="0" distB="0" distL="114300" distR="114300">
            <wp:extent cx="123825" cy="161925"/>
            <wp:effectExtent l="0" t="0" r="9525" b="8255"/>
            <wp:docPr id="55"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1" descr="IMG_286"/>
                    <pic:cNvPicPr>
                      <a:picLocks noChangeAspect="1"/>
                    </pic:cNvPicPr>
                  </pic:nvPicPr>
                  <pic:blipFill>
                    <a:blip r:embed="rId26"/>
                    <a:stretch>
                      <a:fillRect/>
                    </a:stretch>
                  </pic:blipFill>
                  <pic:spPr>
                    <a:xfrm>
                      <a:off x="0" y="0"/>
                      <a:ext cx="123825" cy="161925"/>
                    </a:xfrm>
                    <a:prstGeom prst="rect">
                      <a:avLst/>
                    </a:prstGeom>
                    <a:noFill/>
                    <a:ln w="9525">
                      <a:noFill/>
                    </a:ln>
                  </pic:spPr>
                </pic:pic>
              </a:graphicData>
            </a:graphic>
          </wp:inline>
        </w:drawing>
      </w:r>
      <w:r>
        <w:rPr>
          <w:rFonts w:hint="eastAsia" w:ascii="仿宋" w:hAnsi="仿宋" w:eastAsia="仿宋" w:cs="仿宋"/>
          <w:color w:val="333333"/>
          <w:sz w:val="24"/>
          <w:szCs w:val="24"/>
        </w:rPr>
        <w:t>：开发程度修正，</w:t>
      </w:r>
      <w:r>
        <w:rPr>
          <w:rFonts w:hint="eastAsia" w:ascii="仿宋" w:hAnsi="仿宋" w:eastAsia="仿宋" w:cs="仿宋"/>
          <w:color w:val="333333"/>
          <w:sz w:val="24"/>
          <w:szCs w:val="24"/>
          <w:bdr w:val="none" w:color="auto" w:sz="0" w:space="0"/>
        </w:rPr>
        <w:drawing>
          <wp:inline distT="0" distB="0" distL="114300" distR="114300">
            <wp:extent cx="47625" cy="161925"/>
            <wp:effectExtent l="0" t="0" r="9525" b="8255"/>
            <wp:docPr id="54"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2" descr="IMG_287"/>
                    <pic:cNvPicPr>
                      <a:picLocks noChangeAspect="1"/>
                    </pic:cNvPicPr>
                  </pic:nvPicPr>
                  <pic:blipFill>
                    <a:blip r:embed="rId17"/>
                    <a:stretch>
                      <a:fillRect/>
                    </a:stretch>
                  </pic:blipFill>
                  <pic:spPr>
                    <a:xfrm>
                      <a:off x="0" y="0"/>
                      <a:ext cx="47625" cy="161925"/>
                    </a:xfrm>
                    <a:prstGeom prst="rect">
                      <a:avLst/>
                    </a:prstGeom>
                    <a:noFill/>
                    <a:ln w="9525">
                      <a:noFill/>
                    </a:ln>
                  </pic:spPr>
                </pic:pic>
              </a:graphicData>
            </a:graphic>
          </wp:inline>
        </w:drawing>
      </w:r>
      <w:r>
        <w:rPr>
          <w:rFonts w:hint="eastAsia" w:ascii="仿宋" w:hAnsi="仿宋" w:eastAsia="仿宋" w:cs="仿宋"/>
          <w:color w:val="333333"/>
          <w:sz w:val="24"/>
          <w:szCs w:val="24"/>
        </w:rPr>
        <w:t>：区域因素个数；</w:t>
      </w:r>
      <w:r>
        <w:rPr>
          <w:rFonts w:hint="eastAsia" w:ascii="仿宋" w:hAnsi="仿宋" w:eastAsia="仿宋" w:cs="仿宋"/>
          <w:color w:val="333333"/>
          <w:sz w:val="24"/>
          <w:szCs w:val="24"/>
          <w:bdr w:val="none" w:color="auto" w:sz="0" w:space="0"/>
        </w:rPr>
        <w:drawing>
          <wp:inline distT="0" distB="0" distL="114300" distR="114300">
            <wp:extent cx="95250" cy="209550"/>
            <wp:effectExtent l="0" t="0" r="0" b="0"/>
            <wp:docPr id="53"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3" descr="IMG_288"/>
                    <pic:cNvPicPr>
                      <a:picLocks noChangeAspect="1"/>
                    </pic:cNvPicPr>
                  </pic:nvPicPr>
                  <pic:blipFill>
                    <a:blip r:embed="rId27"/>
                    <a:stretch>
                      <a:fillRect/>
                    </a:stretch>
                  </pic:blipFill>
                  <pic:spPr>
                    <a:xfrm>
                      <a:off x="0" y="0"/>
                      <a:ext cx="95250" cy="209550"/>
                    </a:xfrm>
                    <a:prstGeom prst="rect">
                      <a:avLst/>
                    </a:prstGeom>
                    <a:noFill/>
                    <a:ln w="9525">
                      <a:noFill/>
                    </a:ln>
                  </pic:spPr>
                </pic:pic>
              </a:graphicData>
            </a:graphic>
          </wp:inline>
        </w:drawing>
      </w:r>
      <w:r>
        <w:rPr>
          <w:rFonts w:hint="eastAsia" w:ascii="仿宋" w:hAnsi="仿宋" w:eastAsia="仿宋" w:cs="仿宋"/>
          <w:color w:val="333333"/>
          <w:sz w:val="24"/>
          <w:szCs w:val="24"/>
        </w:rPr>
        <w:t>，个别因素个数，</w:t>
      </w:r>
      <w:r>
        <w:rPr>
          <w:rFonts w:hint="eastAsia" w:ascii="仿宋" w:hAnsi="仿宋" w:eastAsia="仿宋" w:cs="仿宋"/>
          <w:color w:val="333333"/>
          <w:sz w:val="24"/>
          <w:szCs w:val="24"/>
          <w:bdr w:val="none" w:color="auto" w:sz="0" w:space="0"/>
        </w:rPr>
        <w:drawing>
          <wp:inline distT="0" distB="0" distL="114300" distR="114300">
            <wp:extent cx="95250" cy="161925"/>
            <wp:effectExtent l="0" t="0" r="0" b="8255"/>
            <wp:docPr id="52"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4" descr="IMG_289"/>
                    <pic:cNvPicPr>
                      <a:picLocks noChangeAspect="1"/>
                    </pic:cNvPicPr>
                  </pic:nvPicPr>
                  <pic:blipFill>
                    <a:blip r:embed="rId18"/>
                    <a:stretch>
                      <a:fillRect/>
                    </a:stretch>
                  </pic:blipFill>
                  <pic:spPr>
                    <a:xfrm>
                      <a:off x="0" y="0"/>
                      <a:ext cx="95250" cy="161925"/>
                    </a:xfrm>
                    <a:prstGeom prst="rect">
                      <a:avLst/>
                    </a:prstGeom>
                    <a:noFill/>
                    <a:ln w="9525">
                      <a:noFill/>
                    </a:ln>
                  </pic:spPr>
                </pic:pic>
              </a:graphicData>
            </a:graphic>
          </wp:inline>
        </w:drawing>
      </w:r>
      <w:r>
        <w:rPr>
          <w:rFonts w:hint="eastAsia" w:ascii="仿宋" w:hAnsi="仿宋" w:eastAsia="仿宋" w:cs="仿宋"/>
          <w:color w:val="333333"/>
          <w:sz w:val="24"/>
          <w:szCs w:val="24"/>
        </w:rPr>
        <w:t>：其他因素个数。</w:t>
      </w:r>
      <w:r>
        <w:rPr>
          <w:rFonts w:hint="eastAsia" w:ascii="仿宋" w:hAnsi="仿宋" w:eastAsia="仿宋" w:cs="仿宋"/>
          <w:color w:val="333333"/>
          <w:sz w:val="24"/>
          <w:szCs w:val="24"/>
        </w:rPr>
        <w:br w:type="page"/>
      </w:r>
    </w:p>
    <w:p>
      <w:pPr>
        <w:pStyle w:val="4"/>
        <w:keepNext/>
        <w:keepLines w:val="0"/>
        <w:widowControl/>
        <w:suppressLineNumbers w:val="0"/>
        <w:spacing w:before="120" w:beforeAutospacing="0" w:after="12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30"/>
          <w:szCs w:val="30"/>
        </w:rPr>
        <w:t>第三节  住宅用地基准地价修正体系</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一、住宅用地宗地地价影响因素修正</w:t>
      </w:r>
    </w:p>
    <w:p>
      <w:pPr>
        <w:pStyle w:val="4"/>
        <w:keepNext w:val="0"/>
        <w:keepLines w:val="0"/>
        <w:widowControl/>
        <w:suppressLineNumbers w:val="0"/>
        <w:spacing w:before="94" w:beforeAutospacing="0" w:after="94" w:afterAutospacing="0" w:line="30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表3-3-1 南昌市城区一级住宅用地宗地地价修正系数表  （单位: %）</w:t>
      </w:r>
    </w:p>
    <w:tbl>
      <w:tblPr>
        <w:tblW w:w="961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76"/>
        <w:gridCol w:w="2980"/>
        <w:gridCol w:w="1004"/>
        <w:gridCol w:w="1222"/>
        <w:gridCol w:w="1222"/>
        <w:gridCol w:w="1223"/>
        <w:gridCol w:w="1222"/>
        <w:gridCol w:w="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284" w:hRule="atLeast"/>
          <w:tblHeader/>
          <w:jc w:val="center"/>
        </w:trPr>
        <w:tc>
          <w:tcPr>
            <w:tcW w:w="368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0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1.60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-1.52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6" w:type="dxa"/>
            <w:tcBorders>
              <w:top w:val="nil"/>
              <w:left w:val="nil"/>
              <w:bottom w:val="single" w:color="auto" w:sz="8" w:space="0"/>
              <w:right w:val="nil"/>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68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r>
    </w:tbl>
    <w:p>
      <w:pPr>
        <w:pStyle w:val="4"/>
        <w:keepNext w:val="0"/>
        <w:keepLines w:val="0"/>
        <w:widowControl/>
        <w:suppressLineNumbers w:val="0"/>
        <w:spacing w:before="0" w:beforeAutospacing="0" w:after="0" w:afterAutospacing="0" w:line="240" w:lineRule="auto"/>
        <w:ind w:left="0" w:right="0" w:firstLine="48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表3-3-2南昌市城区一级住宅用地宗地地价修正系数说明表</w:t>
      </w:r>
    </w:p>
    <w:tbl>
      <w:tblPr>
        <w:tblW w:w="0" w:type="auto"/>
        <w:tblInd w:w="108" w:type="dxa"/>
        <w:shd w:val="clear"/>
        <w:tblLayout w:type="autofit"/>
        <w:tblCellMar>
          <w:top w:w="0" w:type="dxa"/>
          <w:left w:w="0" w:type="dxa"/>
          <w:bottom w:w="0" w:type="dxa"/>
          <w:right w:w="0" w:type="dxa"/>
        </w:tblCellMar>
      </w:tblPr>
      <w:tblGrid>
        <w:gridCol w:w="396"/>
        <w:gridCol w:w="2138"/>
        <w:gridCol w:w="1073"/>
        <w:gridCol w:w="1203"/>
        <w:gridCol w:w="1222"/>
        <w:gridCol w:w="1353"/>
        <w:gridCol w:w="1029"/>
      </w:tblGrid>
      <w:tr>
        <w:tblPrEx>
          <w:shd w:val="clear"/>
          <w:tblCellMar>
            <w:top w:w="0" w:type="dxa"/>
            <w:left w:w="0" w:type="dxa"/>
            <w:bottom w:w="0" w:type="dxa"/>
            <w:right w:w="0" w:type="dxa"/>
          </w:tblCellMar>
        </w:tblPrEx>
        <w:trPr>
          <w:trHeight w:val="465" w:hRule="atLeast"/>
        </w:trPr>
        <w:tc>
          <w:tcPr>
            <w:tcW w:w="3119"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11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127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12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1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11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57" w:hRule="atLeast"/>
        </w:trPr>
        <w:tc>
          <w:tcPr>
            <w:tcW w:w="0" w:type="auto"/>
            <w:vMerge w:val="restart"/>
            <w:tcBorders>
              <w:top w:val="nil"/>
              <w:left w:val="single" w:color="auto" w:sz="8" w:space="0"/>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距离商服繁华中心距离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801～1350米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1351～1900米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1901～2450米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&gt;2450米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101～300米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距火车站、汽车站、机场距离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供水设施状况（定级分值）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排水设施状况（定级分值）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供电设施状况（定级分值）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供气设施状况（定级分值）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距大学距离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距初中距离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距小学距离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距幼儿园距离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距医疗场所距离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距菜场距离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距公益休闲场所距离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距体育场馆距离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&lt;500米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1101—1400米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噪声环境</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工程地质条件</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水文地质条件</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地形平坦状况</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地势高低状况</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临山水景观状况</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00000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治安环境优劣（定级分值）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规划地铁站</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规划火车东站</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465" w:hRule="atLeast"/>
        </w:trPr>
        <w:tc>
          <w:tcPr>
            <w:tcW w:w="0" w:type="auto"/>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宗地临路位置</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5"/>
                <w:szCs w:val="15"/>
              </w:rPr>
              <w:t>形状较差，对土地利用产生严重的影响</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表3-3-3 南昌市城区二级住宅用地宗地地价修正系数表</w:t>
      </w:r>
    </w:p>
    <w:p>
      <w:pPr>
        <w:pStyle w:val="4"/>
        <w:keepNext w:val="0"/>
        <w:keepLines w:val="0"/>
        <w:widowControl/>
        <w:suppressLineNumbers w:val="0"/>
        <w:spacing w:before="0" w:beforeAutospacing="0" w:after="0" w:afterAutospacing="0" w:line="440" w:lineRule="atLeast"/>
        <w:ind w:left="0" w:right="0" w:firstLine="0"/>
        <w:jc w:val="right"/>
        <w:rPr>
          <w:rFonts w:hint="default" w:ascii="Calibri" w:hAnsi="Calibri" w:cs="Calibri"/>
          <w:sz w:val="21"/>
          <w:szCs w:val="21"/>
        </w:rPr>
      </w:pPr>
      <w:r>
        <w:rPr>
          <w:rFonts w:hint="eastAsia" w:ascii="仿宋" w:hAnsi="仿宋" w:eastAsia="仿宋" w:cs="仿宋"/>
          <w:color w:val="333333"/>
          <w:sz w:val="24"/>
          <w:szCs w:val="24"/>
        </w:rPr>
        <w:t>（单位: %）</w:t>
      </w:r>
    </w:p>
    <w:tbl>
      <w:tblPr>
        <w:tblW w:w="97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22"/>
        <w:gridCol w:w="2983"/>
        <w:gridCol w:w="1004"/>
        <w:gridCol w:w="1222"/>
        <w:gridCol w:w="1222"/>
        <w:gridCol w:w="1223"/>
        <w:gridCol w:w="1222"/>
        <w:gridCol w:w="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284" w:hRule="atLeast"/>
          <w:tblHeader/>
          <w:jc w:val="center"/>
        </w:trPr>
        <w:tc>
          <w:tcPr>
            <w:tcW w:w="383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修正因素</w:t>
            </w:r>
          </w:p>
        </w:tc>
        <w:tc>
          <w:tcPr>
            <w:tcW w:w="100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较劣</w:t>
            </w:r>
          </w:p>
        </w:tc>
        <w:tc>
          <w:tcPr>
            <w:tcW w:w="12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劣</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6" w:type="dxa"/>
            <w:tcBorders>
              <w:top w:val="nil"/>
              <w:left w:val="nil"/>
              <w:bottom w:val="single" w:color="auto" w:sz="8" w:space="0"/>
              <w:right w:val="nil"/>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r>
    </w:tbl>
    <w:p>
      <w:pPr>
        <w:pStyle w:val="4"/>
        <w:keepNext w:val="0"/>
        <w:keepLines w:val="0"/>
        <w:widowControl/>
        <w:suppressLineNumbers w:val="0"/>
        <w:spacing w:before="0" w:beforeAutospacing="0" w:after="0" w:afterAutospacing="0" w:line="360" w:lineRule="auto"/>
        <w:ind w:left="0" w:right="0" w:firstLine="0"/>
        <w:jc w:val="both"/>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表3-3-4 南昌市城区二级住宅用地宗地地价修正系数说明表</w:t>
      </w:r>
    </w:p>
    <w:tbl>
      <w:tblPr>
        <w:tblW w:w="0" w:type="auto"/>
        <w:tblInd w:w="274" w:type="dxa"/>
        <w:shd w:val="clear"/>
        <w:tblLayout w:type="autofit"/>
        <w:tblCellMar>
          <w:top w:w="0" w:type="dxa"/>
          <w:left w:w="0" w:type="dxa"/>
          <w:bottom w:w="0" w:type="dxa"/>
          <w:right w:w="0" w:type="dxa"/>
        </w:tblCellMar>
      </w:tblPr>
      <w:tblGrid>
        <w:gridCol w:w="562"/>
        <w:gridCol w:w="1847"/>
        <w:gridCol w:w="1017"/>
        <w:gridCol w:w="1283"/>
        <w:gridCol w:w="1258"/>
        <w:gridCol w:w="1322"/>
        <w:gridCol w:w="959"/>
      </w:tblGrid>
      <w:tr>
        <w:tblPrEx>
          <w:shd w:val="clear"/>
          <w:tblCellMar>
            <w:top w:w="0" w:type="dxa"/>
            <w:left w:w="0" w:type="dxa"/>
            <w:bottom w:w="0" w:type="dxa"/>
            <w:right w:w="0" w:type="dxa"/>
          </w:tblCellMar>
        </w:tblPrEx>
        <w:trPr>
          <w:trHeight w:val="465" w:hRule="atLeast"/>
        </w:trPr>
        <w:tc>
          <w:tcPr>
            <w:tcW w:w="3045"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10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140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136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1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57" w:hRule="atLeast"/>
        </w:trPr>
        <w:tc>
          <w:tcPr>
            <w:tcW w:w="635" w:type="dxa"/>
            <w:vMerge w:val="restart"/>
            <w:tcBorders>
              <w:top w:val="nil"/>
              <w:left w:val="single" w:color="auto" w:sz="8" w:space="0"/>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距离商服繁华中心距离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0～1700米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1701～2300米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2301～2900米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2901～3500米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&gt;3500米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0～1400米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1401～2050米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2051～2700米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2701～3350米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&gt;3350米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0～1400米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1401～2050米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2051～2700米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2701～3350米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&gt;3350米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距火车站、汽车站、机场距离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供水设施状况（定级分值）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排水设施状况（定级分值）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供电设施状况（定级分值）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供气设施状况（定级分值）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距大学距离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距高中距离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距初中距离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距小学距离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距幼儿园距离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距医疗场所距离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距菜场距离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距公益休闲场所距离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距体育场馆距离</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&lt;1000米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1001—1300米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1301—1600米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1601—1900米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&gt;1900米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噪声环境</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工程地质条件</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水文地质条件</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地形平坦状况</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地势高低状况</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临山水景观状况</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000000"/>
                <w:sz w:val="18"/>
                <w:szCs w:val="18"/>
              </w:rPr>
              <w:t>（定级分值）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治安环境优劣（定级分值）</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规划地铁站</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0～1400米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1401～2050米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2051～2700米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2701～3350米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&gt;3350米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规划火车东站</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CellMar>
            <w:top w:w="0" w:type="dxa"/>
            <w:left w:w="0" w:type="dxa"/>
            <w:bottom w:w="0" w:type="dxa"/>
            <w:right w:w="0" w:type="dxa"/>
          </w:tblCellMar>
        </w:tblPrEx>
        <w:trPr>
          <w:trHeight w:val="57" w:hRule="atLeast"/>
        </w:trPr>
        <w:tc>
          <w:tcPr>
            <w:tcW w:w="635"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465" w:hRule="atLeast"/>
        </w:trPr>
        <w:tc>
          <w:tcPr>
            <w:tcW w:w="635"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宗地临路位置</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三面临街</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两面临街</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一面临街距侧街五米内</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一面临街距侧街五米外</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不临街</w:t>
            </w:r>
          </w:p>
        </w:tc>
      </w:tr>
      <w:tr>
        <w:tblPrEx>
          <w:tblCellMar>
            <w:top w:w="0" w:type="dxa"/>
            <w:left w:w="0" w:type="dxa"/>
            <w:bottom w:w="0" w:type="dxa"/>
            <w:right w:w="0" w:type="dxa"/>
          </w:tblCellMar>
        </w:tblPrEx>
        <w:trPr>
          <w:trHeight w:val="915" w:hRule="atLeast"/>
        </w:trPr>
        <w:tc>
          <w:tcPr>
            <w:tcW w:w="635"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形状规则，对土地利用极为有利</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形状较规则，对土地利用较为有利</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形状对土地利用无不良影响</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形状不规则，对土地利用有一定影响</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5"/>
                <w:szCs w:val="15"/>
              </w:rPr>
              <w:t>形状较差，对土地利用产生严重的影响</w:t>
            </w:r>
          </w:p>
        </w:tc>
      </w:tr>
      <w:tr>
        <w:tblPrEx>
          <w:tblCellMar>
            <w:top w:w="0" w:type="dxa"/>
            <w:left w:w="0" w:type="dxa"/>
            <w:bottom w:w="0" w:type="dxa"/>
            <w:right w:w="0" w:type="dxa"/>
          </w:tblCellMar>
        </w:tblPrEx>
        <w:trPr>
          <w:trHeight w:val="915" w:hRule="atLeast"/>
        </w:trPr>
        <w:tc>
          <w:tcPr>
            <w:tcW w:w="635"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4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0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面积适中，对土地利用极为有利</w:t>
            </w:r>
          </w:p>
        </w:tc>
        <w:tc>
          <w:tcPr>
            <w:tcW w:w="140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面积对土地利用较为有利</w:t>
            </w:r>
          </w:p>
        </w:tc>
        <w:tc>
          <w:tcPr>
            <w:tcW w:w="136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面积对土地利用无不良影响</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面积较小或较大，对土地利用有一定影响</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面积过小或过大，对土地利用产生严重的影响</w:t>
            </w:r>
          </w:p>
        </w:tc>
      </w:tr>
    </w:tbl>
    <w:p>
      <w:pPr>
        <w:pStyle w:val="4"/>
        <w:keepNext w:val="0"/>
        <w:keepLines w:val="0"/>
        <w:widowControl/>
        <w:suppressLineNumbers w:val="0"/>
        <w:spacing w:before="0" w:beforeAutospacing="0" w:after="0" w:afterAutospacing="0" w:line="360" w:lineRule="auto"/>
        <w:ind w:left="0" w:right="0" w:firstLine="360"/>
        <w:jc w:val="center"/>
        <w:rPr>
          <w:rFonts w:hint="default" w:ascii="Calibri" w:hAnsi="Calibri" w:cs="Calibri"/>
          <w:sz w:val="21"/>
          <w:szCs w:val="21"/>
        </w:rPr>
      </w:pPr>
      <w:r>
        <w:rPr>
          <w:rFonts w:hint="default" w:ascii="Calibri" w:hAnsi="Calibri" w:cs="Calibri"/>
          <w:color w:val="333333"/>
          <w:sz w:val="21"/>
          <w:szCs w:val="21"/>
        </w:rPr>
        <w:t> </w:t>
      </w:r>
    </w:p>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表3-3-5 南昌市城区三级住宅用地宗地地价修正系数表</w:t>
      </w:r>
    </w:p>
    <w:p>
      <w:pPr>
        <w:pStyle w:val="4"/>
        <w:keepNext w:val="0"/>
        <w:keepLines w:val="0"/>
        <w:widowControl/>
        <w:suppressLineNumbers w:val="0"/>
        <w:spacing w:before="0" w:beforeAutospacing="0" w:after="0" w:afterAutospacing="0" w:line="360" w:lineRule="auto"/>
        <w:ind w:left="0" w:right="0" w:firstLine="0"/>
        <w:jc w:val="right"/>
        <w:rPr>
          <w:rFonts w:hint="default" w:ascii="Calibri" w:hAnsi="Calibri" w:cs="Calibri"/>
          <w:sz w:val="21"/>
          <w:szCs w:val="21"/>
        </w:rPr>
      </w:pPr>
      <w:r>
        <w:rPr>
          <w:rFonts w:hint="eastAsia" w:ascii="仿宋" w:hAnsi="仿宋" w:eastAsia="仿宋" w:cs="仿宋"/>
          <w:color w:val="333333"/>
          <w:sz w:val="18"/>
          <w:szCs w:val="18"/>
        </w:rPr>
        <w:t>（单位: %）</w:t>
      </w:r>
    </w:p>
    <w:tbl>
      <w:tblPr>
        <w:tblW w:w="975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17"/>
        <w:gridCol w:w="2978"/>
        <w:gridCol w:w="1004"/>
        <w:gridCol w:w="1221"/>
        <w:gridCol w:w="1221"/>
        <w:gridCol w:w="1222"/>
        <w:gridCol w:w="1221"/>
        <w:gridCol w:w="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284" w:hRule="atLeast"/>
          <w:jc w:val="center"/>
        </w:trPr>
        <w:tc>
          <w:tcPr>
            <w:tcW w:w="382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0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nil"/>
              <w:left w:val="nil"/>
              <w:bottom w:val="single" w:color="auto" w:sz="8" w:space="0"/>
              <w:right w:val="nil"/>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r>
    </w:tbl>
    <w:p>
      <w:pPr>
        <w:pStyle w:val="4"/>
        <w:keepNext w:val="0"/>
        <w:keepLines w:val="0"/>
        <w:widowControl/>
        <w:suppressLineNumbers w:val="0"/>
        <w:spacing w:before="0" w:beforeAutospacing="0" w:after="0" w:afterAutospacing="0" w:line="360" w:lineRule="auto"/>
        <w:ind w:left="0" w:right="0" w:firstLine="0"/>
        <w:jc w:val="both"/>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表3-3-6 南昌市城区三级住宅用地宗地地价修正系数说明表</w:t>
      </w:r>
    </w:p>
    <w:tbl>
      <w:tblPr>
        <w:tblW w:w="0" w:type="auto"/>
        <w:tblInd w:w="0" w:type="dxa"/>
        <w:shd w:val="clear"/>
        <w:tblLayout w:type="autofit"/>
        <w:tblCellMar>
          <w:top w:w="0" w:type="dxa"/>
          <w:left w:w="0" w:type="dxa"/>
          <w:bottom w:w="0" w:type="dxa"/>
          <w:right w:w="0" w:type="dxa"/>
        </w:tblCellMar>
      </w:tblPr>
      <w:tblGrid>
        <w:gridCol w:w="584"/>
        <w:gridCol w:w="2170"/>
        <w:gridCol w:w="960"/>
        <w:gridCol w:w="1218"/>
        <w:gridCol w:w="1222"/>
        <w:gridCol w:w="1324"/>
        <w:gridCol w:w="1044"/>
      </w:tblGrid>
      <w:tr>
        <w:tblPrEx>
          <w:shd w:val="clear"/>
          <w:tblCellMar>
            <w:top w:w="0" w:type="dxa"/>
            <w:left w:w="0" w:type="dxa"/>
            <w:bottom w:w="0" w:type="dxa"/>
            <w:right w:w="0" w:type="dxa"/>
          </w:tblCellMar>
        </w:tblPrEx>
        <w:trPr>
          <w:trHeight w:val="284" w:hRule="atLeast"/>
        </w:trPr>
        <w:tc>
          <w:tcPr>
            <w:tcW w:w="3261"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127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128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141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115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4" w:hRule="atLeast"/>
        </w:trPr>
        <w:tc>
          <w:tcPr>
            <w:tcW w:w="637" w:type="dxa"/>
            <w:vMerge w:val="restart"/>
            <w:tcBorders>
              <w:top w:val="nil"/>
              <w:left w:val="single" w:color="auto" w:sz="8" w:space="0"/>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距离商服繁华中心距离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0～2600米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2601～3250米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3251～3900米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3901～4550米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&gt;4550米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301～500米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501～800米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801～1500米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&gt;1500米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2001～2700米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2701～3400米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3401～4100米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&gt;4100米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距火车站、汽车站、机场距离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2501～3500米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3501～4500米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4501～5500米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&gt;5500米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2501～3500米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3501～4500米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4501～5500米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&gt;5500米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供水设施状况（定级分值）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排水设施状况（定级分值）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供电设施状况（定级分值）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供气设施状况（定级分值）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距大学距离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距高中距离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距初中距离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距小学距离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距幼儿园距离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距医疗场所距离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距菜场距离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距公益休闲场所距离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距体育场馆距离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&lt;1500米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1501—1800米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1801—2100米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2101—2400米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&gt;2400米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噪声环境</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工程地质条件</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水文地质条件</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地形平坦状况</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地势高低状况</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临山水景观状况</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000000"/>
                <w:sz w:val="18"/>
                <w:szCs w:val="18"/>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治安环境优劣（定级分值）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规划地铁站</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2001～2700米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2701～3400米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3401～4100米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&gt;4100米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规划火车东站</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4001～5000米</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&gt;5000米</w:t>
            </w:r>
          </w:p>
        </w:tc>
      </w:tr>
      <w:tr>
        <w:tblPrEx>
          <w:tblCellMar>
            <w:top w:w="0" w:type="dxa"/>
            <w:left w:w="0" w:type="dxa"/>
            <w:bottom w:w="0" w:type="dxa"/>
            <w:right w:w="0" w:type="dxa"/>
          </w:tblCellMar>
        </w:tblPrEx>
        <w:trPr>
          <w:trHeight w:val="284" w:hRule="atLeast"/>
        </w:trPr>
        <w:tc>
          <w:tcPr>
            <w:tcW w:w="637" w:type="dxa"/>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4" w:hRule="atLeast"/>
        </w:trPr>
        <w:tc>
          <w:tcPr>
            <w:tcW w:w="637"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宗地临路位置</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三面临街</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两面临街</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一面临街距侧街五米内</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一面临街距侧街五米外</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不临街</w:t>
            </w:r>
          </w:p>
        </w:tc>
      </w:tr>
      <w:tr>
        <w:tblPrEx>
          <w:tblCellMar>
            <w:top w:w="0" w:type="dxa"/>
            <w:left w:w="0" w:type="dxa"/>
            <w:bottom w:w="0" w:type="dxa"/>
            <w:right w:w="0" w:type="dxa"/>
          </w:tblCellMar>
        </w:tblPrEx>
        <w:trPr>
          <w:trHeight w:val="284" w:hRule="atLeast"/>
        </w:trPr>
        <w:tc>
          <w:tcPr>
            <w:tcW w:w="637"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r>
        <w:tblPrEx>
          <w:tblCellMar>
            <w:top w:w="0" w:type="dxa"/>
            <w:left w:w="0" w:type="dxa"/>
            <w:bottom w:w="0" w:type="dxa"/>
            <w:right w:w="0" w:type="dxa"/>
          </w:tblCellMar>
        </w:tblPrEx>
        <w:trPr>
          <w:trHeight w:val="284" w:hRule="atLeast"/>
        </w:trPr>
        <w:tc>
          <w:tcPr>
            <w:tcW w:w="637"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128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14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115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bl>
    <w:p>
      <w:pPr>
        <w:pStyle w:val="4"/>
        <w:keepNext w:val="0"/>
        <w:keepLines w:val="0"/>
        <w:widowControl/>
        <w:suppressLineNumbers w:val="0"/>
        <w:spacing w:before="0" w:beforeAutospacing="0" w:after="0" w:afterAutospacing="0" w:line="360" w:lineRule="auto"/>
        <w:ind w:left="0" w:right="0" w:firstLine="360"/>
        <w:jc w:val="center"/>
        <w:rPr>
          <w:rFonts w:hint="default" w:ascii="Calibri" w:hAnsi="Calibri" w:cs="Calibri"/>
          <w:sz w:val="21"/>
          <w:szCs w:val="21"/>
        </w:rPr>
      </w:pPr>
      <w:r>
        <w:rPr>
          <w:rFonts w:hint="default" w:ascii="Calibri" w:hAnsi="Calibri" w:cs="Calibri"/>
          <w:color w:val="333333"/>
          <w:sz w:val="21"/>
          <w:szCs w:val="21"/>
        </w:rPr>
        <w:t> </w:t>
      </w:r>
    </w:p>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表3-3-7  南昌市城区四级住宅用地宗地地价修正系数表</w:t>
      </w:r>
    </w:p>
    <w:p>
      <w:pPr>
        <w:pStyle w:val="4"/>
        <w:keepNext w:val="0"/>
        <w:keepLines w:val="0"/>
        <w:widowControl/>
        <w:suppressLineNumbers w:val="0"/>
        <w:spacing w:before="0" w:beforeAutospacing="0" w:after="0" w:afterAutospacing="0" w:line="360" w:lineRule="auto"/>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 %）</w:t>
      </w:r>
    </w:p>
    <w:tbl>
      <w:tblPr>
        <w:tblW w:w="975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17"/>
        <w:gridCol w:w="2978"/>
        <w:gridCol w:w="1004"/>
        <w:gridCol w:w="1221"/>
        <w:gridCol w:w="1221"/>
        <w:gridCol w:w="1222"/>
        <w:gridCol w:w="1221"/>
        <w:gridCol w:w="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284" w:hRule="atLeast"/>
          <w:tblHeader/>
          <w:jc w:val="center"/>
        </w:trPr>
        <w:tc>
          <w:tcPr>
            <w:tcW w:w="382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0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nil"/>
              <w:left w:val="nil"/>
              <w:bottom w:val="single" w:color="auto" w:sz="8" w:space="0"/>
              <w:right w:val="nil"/>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84"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0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0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r>
    </w:tbl>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36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表3-3-8 南昌市城区四级住宅用地宗地地价修正系数说明表</w:t>
      </w:r>
    </w:p>
    <w:tbl>
      <w:tblPr>
        <w:tblW w:w="0" w:type="auto"/>
        <w:tblInd w:w="108" w:type="dxa"/>
        <w:shd w:val="clear"/>
        <w:tblLayout w:type="autofit"/>
        <w:tblCellMar>
          <w:top w:w="0" w:type="dxa"/>
          <w:left w:w="0" w:type="dxa"/>
          <w:bottom w:w="0" w:type="dxa"/>
          <w:right w:w="0" w:type="dxa"/>
        </w:tblCellMar>
      </w:tblPr>
      <w:tblGrid>
        <w:gridCol w:w="376"/>
        <w:gridCol w:w="2162"/>
        <w:gridCol w:w="1064"/>
        <w:gridCol w:w="1224"/>
        <w:gridCol w:w="1223"/>
        <w:gridCol w:w="1338"/>
        <w:gridCol w:w="1027"/>
      </w:tblGrid>
      <w:tr>
        <w:tblPrEx>
          <w:shd w:val="clear"/>
          <w:tblCellMar>
            <w:top w:w="0" w:type="dxa"/>
            <w:left w:w="0" w:type="dxa"/>
            <w:bottom w:w="0" w:type="dxa"/>
            <w:right w:w="0" w:type="dxa"/>
          </w:tblCellMar>
        </w:tblPrEx>
        <w:trPr>
          <w:trHeight w:val="465" w:hRule="atLeast"/>
        </w:trPr>
        <w:tc>
          <w:tcPr>
            <w:tcW w:w="3119"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修正因素</w:t>
            </w:r>
          </w:p>
        </w:tc>
        <w:tc>
          <w:tcPr>
            <w:tcW w:w="11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优</w:t>
            </w:r>
          </w:p>
        </w:tc>
        <w:tc>
          <w:tcPr>
            <w:tcW w:w="127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较优</w:t>
            </w:r>
          </w:p>
        </w:tc>
        <w:tc>
          <w:tcPr>
            <w:tcW w:w="12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一般</w:t>
            </w:r>
          </w:p>
        </w:tc>
        <w:tc>
          <w:tcPr>
            <w:tcW w:w="1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较劣</w:t>
            </w:r>
          </w:p>
        </w:tc>
        <w:tc>
          <w:tcPr>
            <w:tcW w:w="11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劣</w:t>
            </w:r>
          </w:p>
        </w:tc>
      </w:tr>
      <w:tr>
        <w:tblPrEx>
          <w:tblCellMar>
            <w:top w:w="0" w:type="dxa"/>
            <w:left w:w="0" w:type="dxa"/>
            <w:bottom w:w="0" w:type="dxa"/>
            <w:right w:w="0" w:type="dxa"/>
          </w:tblCellMar>
        </w:tblPrEx>
        <w:trPr>
          <w:trHeight w:val="57" w:hRule="atLeast"/>
        </w:trPr>
        <w:tc>
          <w:tcPr>
            <w:tcW w:w="0" w:type="auto"/>
            <w:vMerge w:val="restart"/>
            <w:tcBorders>
              <w:top w:val="nil"/>
              <w:left w:val="single" w:color="auto" w:sz="8" w:space="0"/>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区域因素</w:t>
            </w: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距离商服繁华中心距离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4301～5000米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5001～5700米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&gt;5700米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道路通达度</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距公交站距离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301～500米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501～800米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801～1500米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&gt;1500米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距地铁站距离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0～2600米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2601～3350米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3351～4100米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4101～4850米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&gt;4850米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距火车站、汽车站、机场距离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3501～4500米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4501～5500米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5501～6500米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&gt;6500米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距高速路口距离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3501～4500米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4501～5500米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5501～6500米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&gt;6500米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供水设施状况（定级分值）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排水设施状况（定级分值）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供电设施状况（定级分值）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供气设施状况（定级分值）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距大学距离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距高中距离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距初中距离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距小学距离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距幼儿园距离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距医疗场所距离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距菜场距离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距公益休闲场所距离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距体育场馆距离</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&lt;2000米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2001—2300米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2301—2600米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2601—2900米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&gt;2900米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常住人口密度（定级分值）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流动人口密度（定级分值）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空气质量</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噪声环境</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植被覆盖度</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工程地质条件</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水文地质条件</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地形平坦状况</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地势高低状况</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临山水景观状况</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人文景观</w:t>
            </w:r>
            <w:r>
              <w:rPr>
                <w:rFonts w:hint="eastAsia" w:ascii="仿宋" w:hAnsi="仿宋" w:eastAsia="仿宋" w:cs="仿宋"/>
                <w:color w:val="000000"/>
                <w:spacing w:val="-10"/>
                <w:sz w:val="18"/>
                <w:szCs w:val="18"/>
              </w:rPr>
              <w:t>（定级分值）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治安环境优劣（定级分值）</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规划地铁站</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0～2600米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2601～3350米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3351～4100米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4101～4850米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&gt;4850米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规划火车东站</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0～3500米</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3501～4500米</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4501～5500米</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5501～6500米</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&gt;6500米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规划功能区</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CellMar>
            <w:top w:w="0" w:type="dxa"/>
            <w:left w:w="0" w:type="dxa"/>
            <w:bottom w:w="0" w:type="dxa"/>
            <w:right w:w="0" w:type="dxa"/>
          </w:tblCellMar>
        </w:tblPrEx>
        <w:trPr>
          <w:trHeight w:val="465" w:hRule="atLeast"/>
        </w:trPr>
        <w:tc>
          <w:tcPr>
            <w:tcW w:w="0" w:type="auto"/>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个别因素</w:t>
            </w: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宗地临路位置</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三面临街</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两面临街</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一面临街距侧街五米内</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一面临街距侧街五米外</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不临街</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宗地形状</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形状规则，对土地利用极为有利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形状较规则，对土地利用较为有利</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形状对土地利用无不良影响</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形状不规则，对土地利用有一定影响</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5"/>
                <w:szCs w:val="15"/>
              </w:rPr>
              <w:t>形状较差，对土地利用产生严重的影响</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宗地面积</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面积适中，对土地利用极为有利</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面积对土地利用较为有利</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面积对土地利用无不良影响</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面积较小或较大，对土地利用有一定影响</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面积过小或过大，对土地利用产生严重的影响</w:t>
            </w:r>
          </w:p>
        </w:tc>
      </w:tr>
    </w:tbl>
    <w:p>
      <w:pPr>
        <w:pStyle w:val="4"/>
        <w:keepNext w:val="0"/>
        <w:keepLines w:val="0"/>
        <w:widowControl/>
        <w:suppressLineNumbers w:val="0"/>
        <w:spacing w:before="0" w:beforeAutospacing="0" w:after="0" w:afterAutospacing="0" w:line="360" w:lineRule="auto"/>
        <w:ind w:left="0" w:right="0" w:firstLine="360"/>
        <w:jc w:val="center"/>
        <w:rPr>
          <w:rFonts w:hint="default" w:ascii="Calibri" w:hAnsi="Calibri" w:cs="Calibri"/>
          <w:sz w:val="21"/>
          <w:szCs w:val="21"/>
        </w:rPr>
      </w:pPr>
      <w:r>
        <w:rPr>
          <w:rFonts w:hint="default" w:ascii="Calibri" w:hAnsi="Calibri" w:cs="Calibri"/>
          <w:color w:val="333333"/>
          <w:sz w:val="21"/>
          <w:szCs w:val="21"/>
        </w:rPr>
        <w:t> </w:t>
      </w:r>
    </w:p>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表3-3-9  南昌市城区五级住宅用地宗地地价修正系数表</w:t>
      </w:r>
    </w:p>
    <w:p>
      <w:pPr>
        <w:pStyle w:val="4"/>
        <w:keepNext w:val="0"/>
        <w:keepLines w:val="0"/>
        <w:widowControl/>
        <w:suppressLineNumbers w:val="0"/>
        <w:spacing w:before="0" w:beforeAutospacing="0" w:after="0" w:afterAutospacing="0" w:line="360" w:lineRule="auto"/>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 %）</w:t>
      </w:r>
    </w:p>
    <w:tbl>
      <w:tblPr>
        <w:tblW w:w="975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17"/>
        <w:gridCol w:w="3258"/>
        <w:gridCol w:w="723"/>
        <w:gridCol w:w="1221"/>
        <w:gridCol w:w="1221"/>
        <w:gridCol w:w="1222"/>
        <w:gridCol w:w="1221"/>
        <w:gridCol w:w="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57" w:hRule="atLeast"/>
          <w:jc w:val="center"/>
        </w:trPr>
        <w:tc>
          <w:tcPr>
            <w:tcW w:w="411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72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22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22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-0.76</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-0.07</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-0.08</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-0.60</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-0.32</w:t>
            </w:r>
          </w:p>
        </w:tc>
        <w:tc>
          <w:tcPr>
            <w:tcW w:w="6" w:type="dxa"/>
            <w:tcBorders>
              <w:top w:val="outset" w:color="auto" w:sz="6" w:space="0"/>
              <w:left w:val="outset" w:color="auto" w:sz="6" w:space="0"/>
              <w:bottom w:val="outset" w:color="auto" w:sz="6" w:space="0"/>
              <w:right w:val="outset" w:color="auto" w:sz="6" w:space="0"/>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0.05</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-0.02</w:t>
            </w:r>
          </w:p>
        </w:tc>
        <w:tc>
          <w:tcPr>
            <w:tcW w:w="122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-0.04</w:t>
            </w:r>
          </w:p>
        </w:tc>
        <w:tc>
          <w:tcPr>
            <w:tcW w:w="6" w:type="dxa"/>
            <w:tcBorders>
              <w:top w:val="nil"/>
              <w:left w:val="nil"/>
              <w:bottom w:val="single" w:color="auto" w:sz="8" w:space="0"/>
              <w:right w:val="nil"/>
            </w:tcBorders>
            <w:shd w:val="clear"/>
            <w:vAlign w:val="center"/>
          </w:tcPr>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default" w:ascii="Calibri" w:hAnsi="Calibri" w:eastAsia="微软雅黑" w:cs="Calibri"/>
                <w:color w:val="333333"/>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jc w:val="center"/>
        </w:trPr>
        <w:tc>
          <w:tcPr>
            <w:tcW w:w="8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29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22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234" w:type="dxa"/>
            <w:gridSpan w:val="2"/>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r>
    </w:tbl>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表3-3-10 南昌市城区五级住宅用地宗地地价修正系数说明表</w:t>
      </w:r>
    </w:p>
    <w:tbl>
      <w:tblPr>
        <w:tblW w:w="0" w:type="auto"/>
        <w:tblInd w:w="108" w:type="dxa"/>
        <w:shd w:val="clear"/>
        <w:tblLayout w:type="autofit"/>
        <w:tblCellMar>
          <w:top w:w="0" w:type="dxa"/>
          <w:left w:w="0" w:type="dxa"/>
          <w:bottom w:w="0" w:type="dxa"/>
          <w:right w:w="0" w:type="dxa"/>
        </w:tblCellMar>
      </w:tblPr>
      <w:tblGrid>
        <w:gridCol w:w="396"/>
        <w:gridCol w:w="2208"/>
        <w:gridCol w:w="1013"/>
        <w:gridCol w:w="1218"/>
        <w:gridCol w:w="1217"/>
        <w:gridCol w:w="1331"/>
        <w:gridCol w:w="1031"/>
      </w:tblGrid>
      <w:tr>
        <w:tblPrEx>
          <w:shd w:val="clear"/>
          <w:tblCellMar>
            <w:top w:w="0" w:type="dxa"/>
            <w:left w:w="0" w:type="dxa"/>
            <w:bottom w:w="0" w:type="dxa"/>
            <w:right w:w="0" w:type="dxa"/>
          </w:tblCellMar>
        </w:tblPrEx>
        <w:trPr>
          <w:trHeight w:val="465" w:hRule="atLeast"/>
        </w:trPr>
        <w:tc>
          <w:tcPr>
            <w:tcW w:w="3001"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10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126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126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140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112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57" w:hRule="atLeast"/>
        </w:trPr>
        <w:tc>
          <w:tcPr>
            <w:tcW w:w="0" w:type="auto"/>
            <w:vMerge w:val="restart"/>
            <w:tcBorders>
              <w:top w:val="nil"/>
              <w:left w:val="single" w:color="auto" w:sz="8" w:space="0"/>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距离商服繁华中心距离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0～4400米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4401～5150米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5151～5900米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5901～6650米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&gt;6650米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801～1500米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0～3200米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3201～4000米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4001～4800米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4801～5600米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&gt;5600米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距火车站、汽车站、机场距离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供水设施状况（定级分值）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排水设施状况（定级分值）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供电设施状况（定级分值）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供气设施状况（定级分值）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距大学距离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距高中距离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距初中距离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距小学距离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距幼儿园距离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距医疗场所距离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距菜场距离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距公益休闲场所距离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距体育场馆距离</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&lt;2500米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2501—2800米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2801—3100米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3101—3400米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6"/>
                <w:szCs w:val="16"/>
              </w:rPr>
              <w:t>&gt;3400米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噪声环境</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工程地质条件</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水文地质条件</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地形平坦状况</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地势高低状况</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临山水景观状况</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000000"/>
                <w:sz w:val="18"/>
                <w:szCs w:val="18"/>
              </w:rPr>
              <w:t>（定级分值）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治安环境优劣（定级分值）</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规划地铁站</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0～3200米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3201～4000米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4001～4800米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4801～5600米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&gt;5600米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规划火车东站</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0～4500米</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4501～5500米</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5501～6500米</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6501～7500米</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&gt;7500米</w:t>
            </w:r>
          </w:p>
        </w:tc>
      </w:tr>
      <w:tr>
        <w:tblPrEx>
          <w:tblCellMar>
            <w:top w:w="0" w:type="dxa"/>
            <w:left w:w="0" w:type="dxa"/>
            <w:bottom w:w="0" w:type="dxa"/>
            <w:right w:w="0" w:type="dxa"/>
          </w:tblCellMar>
        </w:tblPrEx>
        <w:trPr>
          <w:trHeight w:val="57" w:hRule="atLeast"/>
        </w:trPr>
        <w:tc>
          <w:tcPr>
            <w:tcW w:w="0" w:type="auto"/>
            <w:vMerge w:val="continue"/>
            <w:tcBorders>
              <w:top w:val="nil"/>
              <w:left w:val="single" w:color="auto" w:sz="8" w:space="0"/>
              <w:bottom w:val="nil"/>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465" w:hRule="atLeast"/>
        </w:trPr>
        <w:tc>
          <w:tcPr>
            <w:tcW w:w="0" w:type="auto"/>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宗地临路位置</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三面临街</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两面临街</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一面临街距侧街五米内</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一面临街距侧街五米外</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不临街</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形状规则，对土地利用极为有利</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形状较规则，对土地利用较为有利</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形状对土地利用无不良影响</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形状不规则，对土地利用有一定影响</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5"/>
                <w:szCs w:val="15"/>
              </w:rPr>
              <w:t>形状较差，对土地利用产生严重的影响</w:t>
            </w:r>
          </w:p>
        </w:tc>
      </w:tr>
      <w:tr>
        <w:tblPrEx>
          <w:tblCellMar>
            <w:top w:w="0" w:type="dxa"/>
            <w:left w:w="0" w:type="dxa"/>
            <w:bottom w:w="0" w:type="dxa"/>
            <w:right w:w="0" w:type="dxa"/>
          </w:tblCellMar>
        </w:tblPrEx>
        <w:trPr>
          <w:trHeight w:val="915" w:hRule="atLeast"/>
        </w:trPr>
        <w:tc>
          <w:tcPr>
            <w:tcW w:w="0" w:type="auto"/>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105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面积适中，对土地利用极为有利</w:t>
            </w:r>
          </w:p>
        </w:tc>
        <w:tc>
          <w:tcPr>
            <w:tcW w:w="126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面积对土地利用较为有利</w:t>
            </w:r>
          </w:p>
        </w:tc>
        <w:tc>
          <w:tcPr>
            <w:tcW w:w="12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面积对土地利用无不良影响</w:t>
            </w:r>
          </w:p>
        </w:tc>
        <w:tc>
          <w:tcPr>
            <w:tcW w:w="140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面积较小或较大，对土地利用有一定影响</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面积过小或过大，对土地利用产生严重的影响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4"/>
          <w:szCs w:val="24"/>
        </w:rPr>
        <w:br w:type="page"/>
      </w:r>
      <w:r>
        <w:rPr>
          <w:rFonts w:hint="eastAsia" w:ascii="仿宋" w:hAnsi="仿宋" w:eastAsia="仿宋" w:cs="仿宋"/>
          <w:b/>
          <w:color w:val="333333"/>
          <w:sz w:val="21"/>
          <w:szCs w:val="21"/>
        </w:rPr>
        <w:t>表3-3-11  南昌市城区六级住宅用地宗地地价修正系数表</w:t>
      </w:r>
    </w:p>
    <w:p>
      <w:pPr>
        <w:pStyle w:val="4"/>
        <w:keepNext w:val="0"/>
        <w:keepLines w:val="0"/>
        <w:widowControl/>
        <w:suppressLineNumbers w:val="0"/>
        <w:spacing w:before="0" w:beforeAutospacing="0" w:after="0" w:afterAutospacing="0" w:line="360" w:lineRule="auto"/>
        <w:ind w:left="0" w:right="0" w:firstLine="420"/>
        <w:jc w:val="right"/>
        <w:rPr>
          <w:rFonts w:hint="default" w:ascii="Calibri" w:hAnsi="Calibri" w:cs="Calibri"/>
          <w:sz w:val="21"/>
          <w:szCs w:val="21"/>
        </w:rPr>
      </w:pPr>
      <w:r>
        <w:rPr>
          <w:rFonts w:hint="eastAsia" w:ascii="仿宋" w:hAnsi="仿宋" w:eastAsia="仿宋" w:cs="仿宋"/>
          <w:color w:val="333333"/>
          <w:sz w:val="21"/>
          <w:szCs w:val="21"/>
        </w:rPr>
        <w:t>（单位: %）</w:t>
      </w:r>
    </w:p>
    <w:tbl>
      <w:tblPr>
        <w:tblpPr w:vertAnchor="text" w:tblpXSpec="left"/>
        <w:tblW w:w="952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13"/>
        <w:gridCol w:w="3012"/>
        <w:gridCol w:w="901"/>
        <w:gridCol w:w="1200"/>
        <w:gridCol w:w="1200"/>
        <w:gridCol w:w="1200"/>
        <w:gridCol w:w="11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cantSplit/>
          <w:trHeight w:val="57" w:hRule="atLeast"/>
          <w:tblHeader/>
        </w:trPr>
        <w:tc>
          <w:tcPr>
            <w:tcW w:w="3823"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0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19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19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19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距商服繁华度距离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0.09</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0.9</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-0.84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0.54</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距火车站、汽车站、机场距离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供水</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排水</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0.69</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供电</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-0.34</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供气</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距大学距离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距高中距离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距初中距离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距小学距离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0.65</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距幼儿园距离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0.54</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距医疗场所距离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距菜场距离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距公益休闲场所距离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0.14</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距体育场馆距离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0.64</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0.39</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-0.34</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噪声环境</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0.64</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工程地质条件</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水文地质条件</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0.19</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-0.08</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地形平坦状况</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-0.11</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地势高低状况</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临山水景观状况</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-0.19</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000000"/>
                <w:sz w:val="21"/>
                <w:szCs w:val="21"/>
              </w:rPr>
              <w:t>（定级分值）</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0.53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-0.25</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0.72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-0.34</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0.42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-0.39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57" w:hRule="atLeas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城市规划功能分区</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0.07</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-0.06</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000000"/>
                <w:sz w:val="21"/>
                <w:szCs w:val="21"/>
              </w:rPr>
              <w:t>-0.11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224" w:hRule="atLeast"/>
        </w:trPr>
        <w:tc>
          <w:tcPr>
            <w:tcW w:w="81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宗地临路位置</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0.18</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-0.17</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0.42</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0.21</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-0.19</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Pr>
        <w:tc>
          <w:tcPr>
            <w:tcW w:w="81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01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0.46</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0.23</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119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-0.22</w:t>
            </w:r>
          </w:p>
        </w:tc>
        <w:tc>
          <w:tcPr>
            <w:tcW w:w="119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-0.43</w:t>
            </w:r>
          </w:p>
        </w:tc>
      </w:tr>
    </w:tbl>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color w:val="333333"/>
          <w:sz w:val="21"/>
          <w:szCs w:val="21"/>
          <w:bdr w:val="none" w:color="auto" w:sz="0" w:space="0"/>
        </w:rPr>
        <w:br w:type="page"/>
      </w: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表3-3-12 南昌市城区六级住宅用地宗地地价修正系数说明表</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76"/>
        <w:gridCol w:w="2121"/>
        <w:gridCol w:w="1053"/>
        <w:gridCol w:w="1216"/>
        <w:gridCol w:w="1215"/>
        <w:gridCol w:w="1326"/>
        <w:gridCol w:w="10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27" w:hRule="atLeast"/>
        </w:trPr>
        <w:tc>
          <w:tcPr>
            <w:tcW w:w="317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修正因素</w:t>
            </w:r>
          </w:p>
        </w:tc>
        <w:tc>
          <w:tcPr>
            <w:tcW w:w="112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优</w:t>
            </w:r>
          </w:p>
        </w:tc>
        <w:tc>
          <w:tcPr>
            <w:tcW w:w="127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较优</w:t>
            </w:r>
          </w:p>
        </w:tc>
        <w:tc>
          <w:tcPr>
            <w:tcW w:w="127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一般</w:t>
            </w:r>
          </w:p>
        </w:tc>
        <w:tc>
          <w:tcPr>
            <w:tcW w:w="141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较劣</w:t>
            </w:r>
          </w:p>
        </w:tc>
        <w:tc>
          <w:tcPr>
            <w:tcW w:w="112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pacing w:val="-10"/>
                <w:sz w:val="18"/>
                <w:szCs w:val="18"/>
              </w:rPr>
              <w:t>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区域因素</w:t>
            </w: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距商服繁华度距离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0～5300米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5301～6200米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6201～7100米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7101～8000米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&gt;8000米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301～500米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501～800米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801～1500米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&gt;1500米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0～3800米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3801～4600米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4601～5400米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5401～6200米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&gt;6200米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距火车站、汽车站、机场距离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0～5500米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5501～6500米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6501～7500米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7501～8500米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0～5500米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5501～6500米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6501～7500米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7501～8500米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&gt;8500米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供水</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排水</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供电</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供气</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距大学距离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距高中距离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距初中距离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距小学距离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距幼儿园距离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距医疗场所距离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距菜场距离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距公益休闲场所距离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距体育场馆距离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&lt;3000米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3001—3300米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3301—3600米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3601—3900米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&gt;3900米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噪声环境</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工程地质条件</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水文地质条件</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地形平坦状况</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地势高低状况</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临山水景观状况</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治安状况</w:t>
            </w:r>
            <w:r>
              <w:rPr>
                <w:rFonts w:hint="eastAsia" w:ascii="仿宋" w:hAnsi="仿宋" w:eastAsia="仿宋" w:cs="仿宋"/>
                <w:color w:val="000000"/>
                <w:sz w:val="18"/>
                <w:szCs w:val="18"/>
              </w:rPr>
              <w:t>（定级分值）</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0～3800米</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3801～4600米</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4601～5400米</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5401～6200米</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&gt;6200米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距规划火车东站距离</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80—100</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60—80</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40—60</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20—40</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0—20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pacing w:val="-10"/>
                <w:sz w:val="18"/>
                <w:szCs w:val="18"/>
              </w:rPr>
              <w:t>个别因素</w:t>
            </w: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城市规划功能分区</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三面临街</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两面临街</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一面临街距侧街五米内</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一面临街距侧街五米外</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不临街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宗地临路位置</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形状规则，对土地利用极为有利</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形状较规则，对土地利用较为有利</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形状对土地利用无不良影响</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形状不规则，对土地利用有一定影响</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形状较差，对土地利用产生严重的影响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27" w:hRule="atLeast"/>
        </w:trPr>
        <w:tc>
          <w:tcPr>
            <w:tcW w:w="6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4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宗地形状</w:t>
            </w:r>
          </w:p>
        </w:tc>
        <w:tc>
          <w:tcPr>
            <w:tcW w:w="112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面积适中，对土地利用极为有利</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面积对土地利用较为有利</w:t>
            </w:r>
          </w:p>
        </w:tc>
        <w:tc>
          <w:tcPr>
            <w:tcW w:w="127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面积对土地利用无不良影响</w:t>
            </w:r>
          </w:p>
        </w:tc>
        <w:tc>
          <w:tcPr>
            <w:tcW w:w="141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面积较小或较大，对土地利用有一定影响</w:t>
            </w:r>
          </w:p>
        </w:tc>
        <w:tc>
          <w:tcPr>
            <w:tcW w:w="112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pacing w:val="-10"/>
                <w:sz w:val="18"/>
                <w:szCs w:val="18"/>
              </w:rPr>
              <w:t>面积过小或过大，对土地利用产生严重的影响</w:t>
            </w:r>
          </w:p>
        </w:tc>
      </w:tr>
    </w:tbl>
    <w:p>
      <w:pPr>
        <w:pStyle w:val="4"/>
        <w:keepNext w:val="0"/>
        <w:keepLines w:val="0"/>
        <w:widowControl/>
        <w:suppressLineNumbers w:val="0"/>
        <w:spacing w:before="0" w:beforeAutospacing="0" w:after="0" w:afterAutospacing="0" w:line="360" w:lineRule="auto"/>
        <w:ind w:left="0" w:right="0" w:firstLine="0"/>
        <w:jc w:val="both"/>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30"/>
          <w:szCs w:val="30"/>
          <w:bdr w:val="none" w:color="auto" w:sz="0" w:space="0"/>
        </w:rPr>
        <w:br w:type="page"/>
      </w:r>
      <w:r>
        <w:rPr>
          <w:rFonts w:hint="eastAsia" w:ascii="仿宋" w:hAnsi="仿宋" w:eastAsia="仿宋" w:cs="仿宋"/>
          <w:b/>
          <w:color w:val="333333"/>
          <w:sz w:val="30"/>
          <w:szCs w:val="30"/>
        </w:rPr>
        <w:t> </w:t>
      </w:r>
    </w:p>
    <w:p>
      <w:pPr>
        <w:pStyle w:val="4"/>
        <w:keepNext/>
        <w:keepLines w:val="0"/>
        <w:widowControl/>
        <w:suppressLineNumbers w:val="0"/>
        <w:spacing w:before="0" w:beforeAutospacing="0" w:after="0"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30"/>
          <w:szCs w:val="30"/>
        </w:rPr>
        <w:t>二、住宅用地宗地地价其他因素修正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（一）使用年限修正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 住宅用地土地使用权法定最高出让年限为70年，土地还原利率按不同年限实际求取，根据公式：</w:t>
      </w:r>
    </w:p>
    <w:p>
      <w:pPr>
        <w:pStyle w:val="4"/>
        <w:keepNext w:val="0"/>
        <w:keepLines w:val="0"/>
        <w:widowControl/>
        <w:suppressLineNumbers w:val="0"/>
        <w:spacing w:before="0" w:beforeAutospacing="0" w:after="0" w:afterAutospacing="0" w:line="360" w:lineRule="auto"/>
        <w:ind w:left="0" w:right="0" w:firstLine="48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504950" cy="828675"/>
            <wp:effectExtent l="0" t="0" r="0" b="8890"/>
            <wp:docPr id="51"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5" descr="IMG_290"/>
                    <pic:cNvPicPr>
                      <a:picLocks noChangeAspect="1"/>
                    </pic:cNvPicPr>
                  </pic:nvPicPr>
                  <pic:blipFill>
                    <a:blip r:embed="rId28"/>
                    <a:stretch>
                      <a:fillRect/>
                    </a:stretch>
                  </pic:blipFill>
                  <pic:spPr>
                    <a:xfrm>
                      <a:off x="0" y="0"/>
                      <a:ext cx="1504950" cy="82867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360" w:lineRule="auto"/>
        <w:ind w:left="0" w:right="0" w:firstLine="48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162050" cy="828675"/>
            <wp:effectExtent l="0" t="0" r="0" b="8890"/>
            <wp:docPr id="50"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6" descr="IMG_291"/>
                    <pic:cNvPicPr>
                      <a:picLocks noChangeAspect="1"/>
                    </pic:cNvPicPr>
                  </pic:nvPicPr>
                  <pic:blipFill>
                    <a:blip r:embed="rId29"/>
                    <a:stretch>
                      <a:fillRect/>
                    </a:stretch>
                  </pic:blipFill>
                  <pic:spPr>
                    <a:xfrm>
                      <a:off x="0" y="0"/>
                      <a:ext cx="1162050" cy="82867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式中：</w:t>
      </w:r>
    </w:p>
    <w:p>
      <w:pPr>
        <w:pStyle w:val="4"/>
        <w:keepNext w:val="0"/>
        <w:keepLines w:val="0"/>
        <w:widowControl/>
        <w:suppressLineNumbers w:val="0"/>
        <w:spacing w:before="0" w:beforeAutospacing="0" w:after="0" w:afterAutospacing="0" w:line="360" w:lineRule="auto"/>
        <w:ind w:left="0" w:right="0" w:firstLine="480"/>
        <w:jc w:val="both"/>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49"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7" descr="IMG_292"/>
                    <pic:cNvPicPr>
                      <a:picLocks noChangeAspect="1"/>
                    </pic:cNvPicPr>
                  </pic:nvPicPr>
                  <pic:blipFill>
                    <a:blip r:embed="rId6"/>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 xml:space="preserve">：剩余土地使用权年限： </w:t>
      </w:r>
      <w:r>
        <w:rPr>
          <w:rFonts w:hint="eastAsia" w:ascii="仿宋" w:hAnsi="仿宋" w:eastAsia="仿宋" w:cs="仿宋"/>
          <w:color w:val="333333"/>
          <w:sz w:val="24"/>
          <w:szCs w:val="24"/>
          <w:bdr w:val="none" w:color="auto" w:sz="0" w:space="0"/>
        </w:rPr>
        <w:drawing>
          <wp:inline distT="0" distB="0" distL="114300" distR="114300">
            <wp:extent cx="66675" cy="123825"/>
            <wp:effectExtent l="0" t="0" r="9525" b="6985"/>
            <wp:docPr id="47"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8" descr="IMG_293"/>
                    <pic:cNvPicPr>
                      <a:picLocks noChangeAspect="1"/>
                    </pic:cNvPicPr>
                  </pic:nvPicPr>
                  <pic:blipFill>
                    <a:blip r:embed="rId30"/>
                    <a:stretch>
                      <a:fillRect/>
                    </a:stretch>
                  </pic:blipFill>
                  <pic:spPr>
                    <a:xfrm>
                      <a:off x="0" y="0"/>
                      <a:ext cx="66675" cy="123825"/>
                    </a:xfrm>
                    <a:prstGeom prst="rect">
                      <a:avLst/>
                    </a:prstGeom>
                    <a:noFill/>
                    <a:ln w="9525">
                      <a:noFill/>
                    </a:ln>
                  </pic:spPr>
                </pic:pic>
              </a:graphicData>
            </a:graphic>
          </wp:inline>
        </w:drawing>
      </w:r>
      <w:r>
        <w:rPr>
          <w:rFonts w:hint="eastAsia" w:ascii="仿宋" w:hAnsi="仿宋" w:eastAsia="仿宋" w:cs="仿宋"/>
          <w:color w:val="333333"/>
          <w:sz w:val="24"/>
          <w:szCs w:val="24"/>
        </w:rPr>
        <w:t>：住宅用地土地还原利率</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（二）估价期日修正</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default" w:ascii="Calibri" w:hAnsi="Calibri" w:cs="Calibri"/>
          <w:color w:val="333333"/>
          <w:sz w:val="21"/>
          <w:szCs w:val="21"/>
          <w:bdr w:val="none" w:color="auto" w:sz="0" w:space="0"/>
        </w:rPr>
        <w:drawing>
          <wp:inline distT="0" distB="0" distL="114300" distR="114300">
            <wp:extent cx="3162300" cy="590550"/>
            <wp:effectExtent l="0" t="0" r="0" b="0"/>
            <wp:docPr id="46"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9" descr="IMG_294"/>
                    <pic:cNvPicPr>
                      <a:picLocks noChangeAspect="1"/>
                    </pic:cNvPicPr>
                  </pic:nvPicPr>
                  <pic:blipFill>
                    <a:blip r:embed="rId21"/>
                    <a:stretch>
                      <a:fillRect/>
                    </a:stretch>
                  </pic:blipFill>
                  <pic:spPr>
                    <a:xfrm>
                      <a:off x="0" y="0"/>
                      <a:ext cx="3162300" cy="590550"/>
                    </a:xfrm>
                    <a:prstGeom prst="rect">
                      <a:avLst/>
                    </a:prstGeom>
                    <a:noFill/>
                    <a:ln w="9525">
                      <a:noFill/>
                    </a:ln>
                  </pic:spPr>
                </pic:pic>
              </a:graphicData>
            </a:graphic>
          </wp:inline>
        </w:drawing>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（三）容积率修正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容积率修正公式：</w:t>
      </w:r>
    </w:p>
    <w:p>
      <w:pPr>
        <w:pStyle w:val="4"/>
        <w:keepNext w:val="0"/>
        <w:keepLines w:val="0"/>
        <w:widowControl/>
        <w:suppressLineNumbers w:val="0"/>
        <w:spacing w:before="120" w:beforeAutospacing="0" w:after="120" w:afterAutospacing="0" w:line="36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952500" cy="333375"/>
            <wp:effectExtent l="0" t="0" r="0" b="0"/>
            <wp:docPr id="45"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0" descr="IMG_295"/>
                    <pic:cNvPicPr>
                      <a:picLocks noChangeAspect="1"/>
                    </pic:cNvPicPr>
                  </pic:nvPicPr>
                  <pic:blipFill>
                    <a:blip r:embed="rId9"/>
                    <a:stretch>
                      <a:fillRect/>
                    </a:stretch>
                  </pic:blipFill>
                  <pic:spPr>
                    <a:xfrm>
                      <a:off x="0" y="0"/>
                      <a:ext cx="952500" cy="33337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36"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式中，P：待估宗地地价，P</w:t>
      </w:r>
      <w:r>
        <w:rPr>
          <w:rFonts w:hint="eastAsia" w:ascii="仿宋" w:hAnsi="仿宋" w:eastAsia="仿宋" w:cs="仿宋"/>
          <w:color w:val="333333"/>
          <w:sz w:val="24"/>
          <w:szCs w:val="24"/>
          <w:vertAlign w:val="subscript"/>
        </w:rPr>
        <w:t>i0</w:t>
      </w:r>
      <w:r>
        <w:rPr>
          <w:rFonts w:hint="eastAsia" w:ascii="仿宋" w:hAnsi="仿宋" w:eastAsia="仿宋" w:cs="仿宋"/>
          <w:color w:val="333333"/>
          <w:sz w:val="24"/>
          <w:szCs w:val="24"/>
        </w:rPr>
        <w:t>：某级别基准地价，Ks容积率修正系数。</w:t>
      </w:r>
    </w:p>
    <w:p>
      <w:pPr>
        <w:pStyle w:val="4"/>
        <w:keepNext w:val="0"/>
        <w:keepLines w:val="0"/>
        <w:widowControl/>
        <w:suppressLineNumbers w:val="0"/>
        <w:spacing w:before="0" w:beforeAutospacing="0" w:after="0" w:afterAutospacing="0" w:line="440" w:lineRule="atLeast"/>
        <w:ind w:left="0" w:right="0" w:firstLine="482"/>
        <w:jc w:val="center"/>
        <w:rPr>
          <w:rFonts w:hint="default" w:ascii="Calibri" w:hAnsi="Calibri" w:cs="Calibri"/>
          <w:sz w:val="21"/>
          <w:szCs w:val="21"/>
        </w:rPr>
      </w:pPr>
      <w:r>
        <w:rPr>
          <w:rFonts w:hint="eastAsia" w:ascii="仿宋" w:hAnsi="仿宋" w:eastAsia="仿宋" w:cs="仿宋"/>
          <w:b/>
          <w:color w:val="333333"/>
          <w:sz w:val="24"/>
          <w:szCs w:val="24"/>
        </w:rPr>
        <w:t>表3-3-13   住宅用地容积率修正系数表</w:t>
      </w:r>
    </w:p>
    <w:tbl>
      <w:tblPr>
        <w:tblW w:w="8974" w:type="dxa"/>
        <w:jc w:val="center"/>
        <w:shd w:val="clear"/>
        <w:tblLayout w:type="autofit"/>
        <w:tblCellMar>
          <w:top w:w="0" w:type="dxa"/>
          <w:left w:w="0" w:type="dxa"/>
          <w:bottom w:w="0" w:type="dxa"/>
          <w:right w:w="0" w:type="dxa"/>
        </w:tblCellMar>
      </w:tblPr>
      <w:tblGrid>
        <w:gridCol w:w="1549"/>
        <w:gridCol w:w="1197"/>
        <w:gridCol w:w="1038"/>
        <w:gridCol w:w="1038"/>
        <w:gridCol w:w="1038"/>
        <w:gridCol w:w="1038"/>
        <w:gridCol w:w="1038"/>
        <w:gridCol w:w="1038"/>
      </w:tblGrid>
      <w:tr>
        <w:tblPrEx>
          <w:shd w:val="clear"/>
          <w:tblCellMar>
            <w:top w:w="0" w:type="dxa"/>
            <w:left w:w="0" w:type="dxa"/>
            <w:bottom w:w="0" w:type="dxa"/>
            <w:right w:w="0" w:type="dxa"/>
          </w:tblCellMar>
        </w:tblPrEx>
        <w:trPr>
          <w:trHeight w:val="321" w:hRule="atLeast"/>
          <w:jc w:val="center"/>
        </w:trPr>
        <w:tc>
          <w:tcPr>
            <w:tcW w:w="1549" w:type="dxa"/>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1197"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≤1</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1.2</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1.5</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1.8</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2</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2.3</w:t>
            </w:r>
          </w:p>
        </w:tc>
        <w:tc>
          <w:tcPr>
            <w:tcW w:w="1038" w:type="dxa"/>
            <w:tcBorders>
              <w:top w:val="single" w:color="auto" w:sz="8" w:space="0"/>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2.5</w:t>
            </w:r>
          </w:p>
        </w:tc>
      </w:tr>
      <w:tr>
        <w:tblPrEx>
          <w:tblCellMar>
            <w:top w:w="0" w:type="dxa"/>
            <w:left w:w="0" w:type="dxa"/>
            <w:bottom w:w="0" w:type="dxa"/>
            <w:right w:w="0" w:type="dxa"/>
          </w:tblCellMar>
        </w:tblPrEx>
        <w:trPr>
          <w:trHeight w:val="321" w:hRule="atLeast"/>
          <w:jc w:val="center"/>
        </w:trPr>
        <w:tc>
          <w:tcPr>
            <w:tcW w:w="1549" w:type="dxa"/>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0.6017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0.6629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0.7616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0.8572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0.9157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1.0000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1.0822 </w:t>
            </w:r>
          </w:p>
        </w:tc>
      </w:tr>
      <w:tr>
        <w:tblPrEx>
          <w:tblCellMar>
            <w:top w:w="0" w:type="dxa"/>
            <w:left w:w="0" w:type="dxa"/>
            <w:bottom w:w="0" w:type="dxa"/>
            <w:right w:w="0" w:type="dxa"/>
          </w:tblCellMar>
        </w:tblPrEx>
        <w:trPr>
          <w:trHeight w:val="321" w:hRule="atLeast"/>
          <w:jc w:val="center"/>
        </w:trPr>
        <w:tc>
          <w:tcPr>
            <w:tcW w:w="1549" w:type="dxa"/>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1197"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2.8</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3</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3.3</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3.6</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3.8</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4.1</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4.3</w:t>
            </w:r>
          </w:p>
        </w:tc>
      </w:tr>
      <w:tr>
        <w:tblPrEx>
          <w:tblCellMar>
            <w:top w:w="0" w:type="dxa"/>
            <w:left w:w="0" w:type="dxa"/>
            <w:bottom w:w="0" w:type="dxa"/>
            <w:right w:w="0" w:type="dxa"/>
          </w:tblCellMar>
        </w:tblPrEx>
        <w:trPr>
          <w:trHeight w:val="321" w:hRule="atLeast"/>
          <w:jc w:val="center"/>
        </w:trPr>
        <w:tc>
          <w:tcPr>
            <w:tcW w:w="1549" w:type="dxa"/>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1.2015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1.2829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1.4023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1.5113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1.5791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1.6743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1.7340 </w:t>
            </w:r>
          </w:p>
        </w:tc>
      </w:tr>
      <w:tr>
        <w:tblPrEx>
          <w:tblCellMar>
            <w:top w:w="0" w:type="dxa"/>
            <w:left w:w="0" w:type="dxa"/>
            <w:bottom w:w="0" w:type="dxa"/>
            <w:right w:w="0" w:type="dxa"/>
          </w:tblCellMar>
        </w:tblPrEx>
        <w:trPr>
          <w:trHeight w:val="321" w:hRule="atLeast"/>
          <w:jc w:val="center"/>
        </w:trPr>
        <w:tc>
          <w:tcPr>
            <w:tcW w:w="1549" w:type="dxa"/>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容积率</w:t>
            </w:r>
          </w:p>
        </w:tc>
        <w:tc>
          <w:tcPr>
            <w:tcW w:w="1197"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4.5</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4.7</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4.9</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5</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5.1</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5.3</w:t>
            </w:r>
          </w:p>
        </w:tc>
        <w:tc>
          <w:tcPr>
            <w:tcW w:w="1038" w:type="dxa"/>
            <w:tcBorders>
              <w:top w:val="nil"/>
              <w:left w:val="nil"/>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≥5.5</w:t>
            </w:r>
          </w:p>
        </w:tc>
      </w:tr>
      <w:tr>
        <w:tblPrEx>
          <w:tblCellMar>
            <w:top w:w="0" w:type="dxa"/>
            <w:left w:w="0" w:type="dxa"/>
            <w:bottom w:w="0" w:type="dxa"/>
            <w:right w:w="0" w:type="dxa"/>
          </w:tblCellMar>
        </w:tblPrEx>
        <w:trPr>
          <w:trHeight w:val="330" w:hRule="atLeast"/>
          <w:jc w:val="center"/>
        </w:trPr>
        <w:tc>
          <w:tcPr>
            <w:tcW w:w="1549" w:type="dxa"/>
            <w:tcBorders>
              <w:top w:val="nil"/>
              <w:left w:val="single" w:color="auto" w:sz="8" w:space="0"/>
              <w:bottom w:val="single" w:color="auto" w:sz="8" w:space="0"/>
              <w:right w:val="single" w:color="auto" w:sz="8" w:space="0"/>
            </w:tcBorders>
            <w:shd w:val="clear"/>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修正系数</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1.7909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1.8454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1.8976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1.9229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1.9477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1.9959 </w:t>
            </w:r>
          </w:p>
        </w:tc>
        <w:tc>
          <w:tcPr>
            <w:tcW w:w="0" w:type="auto"/>
            <w:tcBorders>
              <w:top w:val="nil"/>
              <w:left w:val="nil"/>
              <w:bottom w:val="single" w:color="auto" w:sz="8" w:space="0"/>
              <w:right w:val="single" w:color="auto" w:sz="8" w:space="0"/>
            </w:tcBorders>
            <w:shd w:val="clear"/>
            <w:noWrap/>
            <w:tcMar>
              <w:top w:w="12" w:type="dxa"/>
              <w:left w:w="12" w:type="dxa"/>
              <w:right w:w="12" w:type="dxa"/>
            </w:tcMar>
            <w:vAlign w:val="bottom"/>
          </w:tcPr>
          <w:p>
            <w:pPr>
              <w:pStyle w:val="4"/>
              <w:keepNext w:val="0"/>
              <w:keepLines w:val="0"/>
              <w:widowControl/>
              <w:suppressLineNumbers w:val="0"/>
              <w:spacing w:before="0" w:beforeAutospacing="0" w:after="0" w:afterAutospacing="0" w:line="240" w:lineRule="auto"/>
              <w:ind w:left="0" w:right="0" w:firstLine="0"/>
              <w:jc w:val="center"/>
              <w:textAlignment w:val="bottom"/>
              <w:rPr>
                <w:rFonts w:hint="default" w:ascii="Calibri" w:hAnsi="Calibri" w:cs="Calibri"/>
                <w:sz w:val="21"/>
                <w:szCs w:val="21"/>
              </w:rPr>
            </w:pPr>
            <w:r>
              <w:rPr>
                <w:rFonts w:hint="eastAsia" w:ascii="仿宋" w:hAnsi="仿宋" w:eastAsia="仿宋" w:cs="仿宋"/>
                <w:color w:val="000000"/>
                <w:sz w:val="21"/>
                <w:szCs w:val="21"/>
              </w:rPr>
              <w:t xml:space="preserve">2.0423 </w:t>
            </w:r>
          </w:p>
        </w:tc>
      </w:tr>
    </w:tbl>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eastAsia" w:ascii="仿宋" w:hAnsi="仿宋" w:eastAsia="仿宋" w:cs="仿宋"/>
          <w:color w:val="333333"/>
          <w:sz w:val="21"/>
          <w:szCs w:val="21"/>
        </w:rPr>
        <w:t>注：除表中列出的容积率修正系数外，其他容积率修正通过表中相临容积率对应修正系数线性内插法计算得出。</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（四）开发程度修正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六通一平”则作加价修正，如果待估宗地开发程度低于基准地价评估设定的“六通一平”则作减价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（五）宗地地价评估</w:t>
      </w:r>
    </w:p>
    <w:p>
      <w:pPr>
        <w:pStyle w:val="4"/>
        <w:keepNext w:val="0"/>
        <w:keepLines w:val="0"/>
        <w:widowControl/>
        <w:suppressLineNumbers w:val="0"/>
        <w:spacing w:before="0" w:beforeAutospacing="0" w:after="0" w:afterAutospacing="0" w:line="440" w:lineRule="atLeast"/>
        <w:ind w:left="0" w:right="0" w:firstLine="480"/>
        <w:jc w:val="both"/>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4257675" cy="533400"/>
            <wp:effectExtent l="0" t="0" r="9525" b="0"/>
            <wp:docPr id="42"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descr="IMG_296"/>
                    <pic:cNvPicPr>
                      <a:picLocks noChangeAspect="1"/>
                    </pic:cNvPicPr>
                  </pic:nvPicPr>
                  <pic:blipFill>
                    <a:blip r:embed="rId31"/>
                    <a:stretch>
                      <a:fillRect/>
                    </a:stretch>
                  </pic:blipFill>
                  <pic:spPr>
                    <a:xfrm>
                      <a:off x="0" y="0"/>
                      <a:ext cx="4257675" cy="533400"/>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643"/>
        <w:jc w:val="center"/>
        <w:rPr>
          <w:rFonts w:hint="default" w:ascii="Calibri" w:hAnsi="Calibri" w:cs="Calibri"/>
          <w:sz w:val="21"/>
          <w:szCs w:val="21"/>
        </w:rPr>
      </w:pPr>
      <w:r>
        <w:rPr>
          <w:rFonts w:hint="eastAsia" w:ascii="仿宋" w:hAnsi="仿宋" w:eastAsia="仿宋" w:cs="仿宋"/>
          <w:b/>
          <w:color w:val="333333"/>
          <w:sz w:val="32"/>
          <w:szCs w:val="32"/>
        </w:rPr>
        <w:t> </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式中，x：区域因素修正系数，y：个别因素修正系数，w：其他因素修正系数，F：开发程度修正，i：区域因素个数；j，个别因素个数，L：其他因素个数。</w:t>
      </w:r>
    </w:p>
    <w:p>
      <w:pPr>
        <w:pStyle w:val="4"/>
        <w:keepNext/>
        <w:keepLines w:val="0"/>
        <w:widowControl/>
        <w:suppressLineNumbers w:val="0"/>
        <w:spacing w:before="120" w:beforeAutospacing="0" w:after="12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30"/>
          <w:szCs w:val="30"/>
        </w:rPr>
        <w:t>第四节 工业用地基准地价修正体系</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一、工业用地宗地地价影响因素修正</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表3-4-1  南昌市城区一级工业用地宗地地价修正系数表</w:t>
      </w:r>
    </w:p>
    <w:p>
      <w:pPr>
        <w:pStyle w:val="4"/>
        <w:keepNext w:val="0"/>
        <w:keepLines w:val="0"/>
        <w:widowControl/>
        <w:suppressLineNumbers w:val="0"/>
        <w:spacing w:before="0" w:beforeAutospacing="0" w:after="0" w:afterAutospacing="0" w:line="440" w:lineRule="atLeast"/>
        <w:ind w:left="562"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495" w:type="dxa"/>
        <w:tblInd w:w="0" w:type="dxa"/>
        <w:shd w:val="clear"/>
        <w:tblLayout w:type="autofit"/>
        <w:tblCellMar>
          <w:top w:w="0" w:type="dxa"/>
          <w:left w:w="0" w:type="dxa"/>
          <w:bottom w:w="0" w:type="dxa"/>
          <w:right w:w="0" w:type="dxa"/>
        </w:tblCellMar>
      </w:tblPr>
      <w:tblGrid>
        <w:gridCol w:w="1137"/>
        <w:gridCol w:w="3367"/>
        <w:gridCol w:w="992"/>
        <w:gridCol w:w="992"/>
        <w:gridCol w:w="992"/>
        <w:gridCol w:w="993"/>
        <w:gridCol w:w="1022"/>
      </w:tblGrid>
      <w:tr>
        <w:tblPrEx>
          <w:shd w:val="clear"/>
          <w:tblCellMar>
            <w:top w:w="0" w:type="dxa"/>
            <w:left w:w="0" w:type="dxa"/>
            <w:bottom w:w="0" w:type="dxa"/>
            <w:right w:w="0" w:type="dxa"/>
          </w:tblCellMar>
        </w:tblPrEx>
        <w:trPr>
          <w:trHeight w:val="404" w:hRule="atLeast"/>
          <w:tblHeader/>
        </w:trPr>
        <w:tc>
          <w:tcPr>
            <w:tcW w:w="4503"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9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02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404" w:hRule="atLeast"/>
        </w:trPr>
        <w:tc>
          <w:tcPr>
            <w:tcW w:w="113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2.86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1.43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-1.32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-2.65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-1.72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-1.48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1.76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-1.63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1.54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-1.43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1.07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-0.99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1.14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-1.05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2.49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1.24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-1.15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-2.30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404"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r>
      <w:tr>
        <w:tblPrEx>
          <w:tblCellMar>
            <w:top w:w="0" w:type="dxa"/>
            <w:left w:w="0" w:type="dxa"/>
            <w:bottom w:w="0" w:type="dxa"/>
            <w:right w:w="0" w:type="dxa"/>
          </w:tblCellMar>
        </w:tblPrEx>
        <w:trPr>
          <w:trHeight w:val="471" w:hRule="atLeast"/>
        </w:trPr>
        <w:tc>
          <w:tcPr>
            <w:tcW w:w="113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2.19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1.09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-2.03 </w:t>
            </w:r>
          </w:p>
        </w:tc>
      </w:tr>
      <w:tr>
        <w:tblPrEx>
          <w:tblCellMar>
            <w:top w:w="0" w:type="dxa"/>
            <w:left w:w="0" w:type="dxa"/>
            <w:bottom w:w="0" w:type="dxa"/>
            <w:right w:w="0" w:type="dxa"/>
          </w:tblCellMar>
        </w:tblPrEx>
        <w:trPr>
          <w:trHeight w:val="471" w:hRule="atLeast"/>
        </w:trPr>
        <w:tc>
          <w:tcPr>
            <w:tcW w:w="113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6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1.70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2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r>
    </w:tbl>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bdr w:val="none" w:color="auto" w:sz="0" w:space="0"/>
        </w:rPr>
        <w:br w:type="page"/>
      </w: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156"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表3-4-2  南昌市城区一级工业用地宗地地价修正系数说明表</w:t>
      </w:r>
    </w:p>
    <w:tbl>
      <w:tblPr>
        <w:tblW w:w="5000" w:type="pct"/>
        <w:jc w:val="center"/>
        <w:shd w:val="clear"/>
        <w:tblLayout w:type="autofit"/>
        <w:tblCellMar>
          <w:top w:w="0" w:type="dxa"/>
          <w:left w:w="0" w:type="dxa"/>
          <w:bottom w:w="0" w:type="dxa"/>
          <w:right w:w="0" w:type="dxa"/>
        </w:tblCellMar>
      </w:tblPr>
      <w:tblGrid>
        <w:gridCol w:w="396"/>
        <w:gridCol w:w="2136"/>
        <w:gridCol w:w="1019"/>
        <w:gridCol w:w="1149"/>
        <w:gridCol w:w="1173"/>
        <w:gridCol w:w="1264"/>
        <w:gridCol w:w="1385"/>
      </w:tblGrid>
      <w:tr>
        <w:tblPrEx>
          <w:shd w:val="clear"/>
          <w:tblCellMar>
            <w:top w:w="0" w:type="dxa"/>
            <w:left w:w="0" w:type="dxa"/>
            <w:bottom w:w="0" w:type="dxa"/>
            <w:right w:w="0" w:type="dxa"/>
          </w:tblCellMar>
        </w:tblPrEx>
        <w:trPr>
          <w:trHeight w:val="270" w:hRule="atLeast"/>
          <w:tblHeader/>
          <w:jc w:val="center"/>
        </w:trPr>
        <w:tc>
          <w:tcPr>
            <w:tcW w:w="1481"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18"/>
                <w:szCs w:val="18"/>
              </w:rPr>
              <w:t>修正因素</w:t>
            </w:r>
          </w:p>
        </w:tc>
        <w:tc>
          <w:tcPr>
            <w:tcW w:w="5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优</w:t>
            </w:r>
          </w:p>
        </w:tc>
        <w:tc>
          <w:tcPr>
            <w:tcW w:w="67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较优</w:t>
            </w:r>
          </w:p>
        </w:tc>
        <w:tc>
          <w:tcPr>
            <w:tcW w:w="68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一般</w:t>
            </w:r>
          </w:p>
        </w:tc>
        <w:tc>
          <w:tcPr>
            <w:tcW w:w="74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较劣</w:t>
            </w:r>
          </w:p>
        </w:tc>
        <w:tc>
          <w:tcPr>
            <w:tcW w:w="81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劣</w:t>
            </w:r>
          </w:p>
        </w:tc>
      </w:tr>
      <w:tr>
        <w:tblPrEx>
          <w:tblCellMar>
            <w:top w:w="0" w:type="dxa"/>
            <w:left w:w="0" w:type="dxa"/>
            <w:bottom w:w="0" w:type="dxa"/>
            <w:right w:w="0" w:type="dxa"/>
          </w:tblCellMar>
        </w:tblPrEx>
        <w:trPr>
          <w:trHeight w:val="255" w:hRule="atLeast"/>
          <w:jc w:val="center"/>
        </w:trPr>
        <w:tc>
          <w:tcPr>
            <w:tcW w:w="227"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区域因素</w:t>
            </w: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&lt;500m</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501—800m</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801—1100m</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1101—1400m</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&gt;1400m</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&lt;500m</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501—800m</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801—1100m</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1101—1400m</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&gt;1400m</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&lt;500m</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501—800m</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801—1100m</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1101—1400m</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&gt;1400m</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&gt;86</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86～72</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72～58</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58～44</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＜44</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&gt;200ha</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100-200ha</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50-100ha</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20-50ha</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&lt;20ha</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&gt;1000</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500-1000</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100-500</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50-100</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&lt;50</w:t>
            </w:r>
          </w:p>
        </w:tc>
      </w:tr>
      <w:tr>
        <w:tblPrEx>
          <w:tblCellMar>
            <w:top w:w="0" w:type="dxa"/>
            <w:left w:w="0" w:type="dxa"/>
            <w:bottom w:w="0" w:type="dxa"/>
            <w:right w:w="0" w:type="dxa"/>
          </w:tblCellMar>
        </w:tblPrEx>
        <w:trPr>
          <w:trHeight w:val="255"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&gt;6</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 xml:space="preserve">4-6 </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w:t>
            </w:r>
          </w:p>
        </w:tc>
      </w:tr>
      <w:tr>
        <w:tblPrEx>
          <w:tblCellMar>
            <w:top w:w="0" w:type="dxa"/>
            <w:left w:w="0" w:type="dxa"/>
            <w:bottom w:w="0" w:type="dxa"/>
            <w:right w:w="0" w:type="dxa"/>
          </w:tblCellMar>
        </w:tblPrEx>
        <w:trPr>
          <w:trHeight w:val="720" w:hRule="atLeast"/>
          <w:jc w:val="center"/>
        </w:trPr>
        <w:tc>
          <w:tcPr>
            <w:tcW w:w="227"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个别因素</w:t>
            </w: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480" w:hRule="atLeast"/>
          <w:jc w:val="center"/>
        </w:trPr>
        <w:tc>
          <w:tcPr>
            <w:tcW w:w="22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2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67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6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4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81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bdr w:val="none" w:color="auto" w:sz="0" w:space="0"/>
        </w:rPr>
        <w:br w:type="page"/>
      </w: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表3-4-3  南昌市城区二级工业用地宗地地价修正系数表</w:t>
      </w:r>
    </w:p>
    <w:p>
      <w:pPr>
        <w:pStyle w:val="4"/>
        <w:keepNext w:val="0"/>
        <w:keepLines w:val="0"/>
        <w:widowControl/>
        <w:suppressLineNumbers w:val="0"/>
        <w:spacing w:before="0" w:beforeAutospacing="0" w:after="0" w:afterAutospacing="0" w:line="440" w:lineRule="atLeast"/>
        <w:ind w:left="0" w:right="0" w:firstLine="174"/>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630" w:type="dxa"/>
        <w:tblInd w:w="0" w:type="dxa"/>
        <w:shd w:val="clear"/>
        <w:tblLayout w:type="autofit"/>
        <w:tblCellMar>
          <w:top w:w="0" w:type="dxa"/>
          <w:left w:w="0" w:type="dxa"/>
          <w:bottom w:w="0" w:type="dxa"/>
          <w:right w:w="0" w:type="dxa"/>
        </w:tblCellMar>
      </w:tblPr>
      <w:tblGrid>
        <w:gridCol w:w="1031"/>
        <w:gridCol w:w="3414"/>
        <w:gridCol w:w="993"/>
        <w:gridCol w:w="1136"/>
        <w:gridCol w:w="851"/>
        <w:gridCol w:w="1136"/>
        <w:gridCol w:w="1069"/>
      </w:tblGrid>
      <w:tr>
        <w:tblPrEx>
          <w:shd w:val="clear"/>
          <w:tblCellMar>
            <w:top w:w="0" w:type="dxa"/>
            <w:left w:w="0" w:type="dxa"/>
            <w:bottom w:w="0" w:type="dxa"/>
            <w:right w:w="0" w:type="dxa"/>
          </w:tblCellMar>
        </w:tblPrEx>
        <w:trPr>
          <w:trHeight w:val="387" w:hRule="atLeast"/>
        </w:trPr>
        <w:tc>
          <w:tcPr>
            <w:tcW w:w="444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0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1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85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1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06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387" w:hRule="atLeast"/>
        </w:trPr>
        <w:tc>
          <w:tcPr>
            <w:tcW w:w="103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2.52</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1.26</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-1.20</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-2.40</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1.64</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0.82</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-0.78</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-1.57</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1.41</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-0.67</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-1.34</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1.55</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0.78</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-0.74</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-1.48</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1.36</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0.68</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-0.65</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-1.30</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1.56</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0.78</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-1.49</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-0.39</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0.94</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0.47</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-0.90</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-0.48</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-0.95</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2.19</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-1.05</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-2.09</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-0.42</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-0.21</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-0.43</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0.37</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0.19</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r>
      <w:tr>
        <w:tblPrEx>
          <w:tblCellMar>
            <w:top w:w="0" w:type="dxa"/>
            <w:left w:w="0" w:type="dxa"/>
            <w:bottom w:w="0" w:type="dxa"/>
            <w:right w:w="0" w:type="dxa"/>
          </w:tblCellMar>
        </w:tblPrEx>
        <w:trPr>
          <w:trHeight w:val="387"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0.36</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0.18</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r>
      <w:tr>
        <w:tblPrEx>
          <w:tblCellMar>
            <w:top w:w="0" w:type="dxa"/>
            <w:left w:w="0" w:type="dxa"/>
            <w:bottom w:w="0" w:type="dxa"/>
            <w:right w:w="0" w:type="dxa"/>
          </w:tblCellMar>
        </w:tblPrEx>
        <w:trPr>
          <w:trHeight w:val="451" w:hRule="atLeast"/>
        </w:trPr>
        <w:tc>
          <w:tcPr>
            <w:tcW w:w="103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1.93</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0.96</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-0.92</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-1.84</w:t>
            </w:r>
          </w:p>
        </w:tc>
      </w:tr>
      <w:tr>
        <w:tblPrEx>
          <w:tblCellMar>
            <w:top w:w="0" w:type="dxa"/>
            <w:left w:w="0" w:type="dxa"/>
            <w:bottom w:w="0" w:type="dxa"/>
            <w:right w:w="0" w:type="dxa"/>
          </w:tblCellMar>
        </w:tblPrEx>
        <w:trPr>
          <w:trHeight w:val="451" w:hRule="atLeast"/>
        </w:trPr>
        <w:tc>
          <w:tcPr>
            <w:tcW w:w="103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41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1.50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-0.71</w:t>
            </w:r>
          </w:p>
        </w:tc>
        <w:tc>
          <w:tcPr>
            <w:tcW w:w="10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-1.43</w:t>
            </w:r>
          </w:p>
        </w:tc>
      </w:tr>
    </w:tbl>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156"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表3-4-4 南昌市城区二级工业用地宗地地价修正系数说明表</w:t>
      </w:r>
    </w:p>
    <w:tbl>
      <w:tblPr>
        <w:tblW w:w="5050" w:type="pct"/>
        <w:jc w:val="center"/>
        <w:shd w:val="clear"/>
        <w:tblLayout w:type="autofit"/>
        <w:tblCellMar>
          <w:top w:w="0" w:type="dxa"/>
          <w:left w:w="0" w:type="dxa"/>
          <w:bottom w:w="0" w:type="dxa"/>
          <w:right w:w="0" w:type="dxa"/>
        </w:tblCellMar>
      </w:tblPr>
      <w:tblGrid>
        <w:gridCol w:w="416"/>
        <w:gridCol w:w="2249"/>
        <w:gridCol w:w="998"/>
        <w:gridCol w:w="1380"/>
        <w:gridCol w:w="1316"/>
        <w:gridCol w:w="1316"/>
        <w:gridCol w:w="932"/>
      </w:tblGrid>
      <w:tr>
        <w:tblPrEx>
          <w:shd w:val="clear"/>
          <w:tblCellMar>
            <w:top w:w="0" w:type="dxa"/>
            <w:left w:w="0" w:type="dxa"/>
            <w:bottom w:w="0" w:type="dxa"/>
            <w:right w:w="0" w:type="dxa"/>
          </w:tblCellMar>
        </w:tblPrEx>
        <w:trPr>
          <w:trHeight w:val="270" w:hRule="atLeast"/>
          <w:tblHeader/>
          <w:jc w:val="center"/>
        </w:trPr>
        <w:tc>
          <w:tcPr>
            <w:tcW w:w="1568"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59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81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3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3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55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CellMar>
            <w:top w:w="0" w:type="dxa"/>
            <w:left w:w="0" w:type="dxa"/>
            <w:bottom w:w="0" w:type="dxa"/>
            <w:right w:w="0" w:type="dxa"/>
          </w:tblCellMar>
        </w:tblPrEx>
        <w:trPr>
          <w:trHeight w:val="285" w:hRule="atLeast"/>
          <w:jc w:val="center"/>
        </w:trPr>
        <w:tc>
          <w:tcPr>
            <w:tcW w:w="25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区域因素</w:t>
            </w: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&lt;1000m</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1001—1300m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1301—1600m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1601—1900m</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&gt;1900m</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&lt;1000m</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1001—1300m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1301—1600m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1601—1900m</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&gt;1900m</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&lt;1000m</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1001—1300m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1301—1600m</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1601—1900m</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&gt;1900m</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&gt;86</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86～72</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72～58</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58～44</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＜44</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&gt;200ha</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100-200ha</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50-100ha</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20-50ha</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&lt;20ha</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&gt;1000</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500-1000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100-500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&lt;50</w:t>
            </w:r>
          </w:p>
        </w:tc>
      </w:tr>
      <w:tr>
        <w:tblPrEx>
          <w:tblCellMar>
            <w:top w:w="0" w:type="dxa"/>
            <w:left w:w="0" w:type="dxa"/>
            <w:bottom w:w="0" w:type="dxa"/>
            <w:right w:w="0" w:type="dxa"/>
          </w:tblCellMar>
        </w:tblPrEx>
        <w:trPr>
          <w:trHeight w:val="285"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720" w:hRule="atLeast"/>
          <w:jc w:val="center"/>
        </w:trPr>
        <w:tc>
          <w:tcPr>
            <w:tcW w:w="25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宗地面积</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面积适中，对土地利用极为有利</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面积对土地利用较为有利</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面积对土地利用无不良影响</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面积较小或较大，对土地利用有一定影响</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面积过小或过大，对土地利用产生严重的影响</w:t>
            </w:r>
          </w:p>
        </w:tc>
      </w:tr>
      <w:tr>
        <w:tblPrEx>
          <w:tblCellMar>
            <w:top w:w="0" w:type="dxa"/>
            <w:left w:w="0" w:type="dxa"/>
            <w:bottom w:w="0" w:type="dxa"/>
            <w:right w:w="0" w:type="dxa"/>
          </w:tblCellMar>
        </w:tblPrEx>
        <w:trPr>
          <w:trHeight w:val="480" w:hRule="atLeast"/>
          <w:jc w:val="center"/>
        </w:trPr>
        <w:tc>
          <w:tcPr>
            <w:tcW w:w="25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3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宗地形状</w:t>
            </w:r>
          </w:p>
        </w:tc>
        <w:tc>
          <w:tcPr>
            <w:tcW w:w="59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形状规则，对土地利用极为有利</w:t>
            </w:r>
          </w:p>
        </w:tc>
        <w:tc>
          <w:tcPr>
            <w:tcW w:w="81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形状较规则，对土地利用较为有利</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形状对土地利用无不良影响</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形状不规则，对土地利用有一定影响</w:t>
            </w:r>
          </w:p>
        </w:tc>
        <w:tc>
          <w:tcPr>
            <w:tcW w:w="55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表3-4-5  南昌市城区三级工业用地宗地地价修正系数表</w:t>
      </w:r>
    </w:p>
    <w:p>
      <w:pPr>
        <w:pStyle w:val="4"/>
        <w:keepNext w:val="0"/>
        <w:keepLines w:val="0"/>
        <w:widowControl/>
        <w:suppressLineNumbers w:val="0"/>
        <w:spacing w:before="0" w:beforeAutospacing="0" w:after="0" w:afterAutospacing="0" w:line="440" w:lineRule="atLeast"/>
        <w:ind w:left="562"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360" w:type="dxa"/>
        <w:jc w:val="center"/>
        <w:shd w:val="clear"/>
        <w:tblLayout w:type="autofit"/>
        <w:tblCellMar>
          <w:top w:w="0" w:type="dxa"/>
          <w:left w:w="0" w:type="dxa"/>
          <w:bottom w:w="0" w:type="dxa"/>
          <w:right w:w="0" w:type="dxa"/>
        </w:tblCellMar>
      </w:tblPr>
      <w:tblGrid>
        <w:gridCol w:w="1044"/>
        <w:gridCol w:w="2357"/>
        <w:gridCol w:w="1191"/>
        <w:gridCol w:w="1192"/>
        <w:gridCol w:w="1192"/>
        <w:gridCol w:w="1193"/>
        <w:gridCol w:w="1191"/>
      </w:tblGrid>
      <w:tr>
        <w:tblPrEx>
          <w:shd w:val="clear"/>
          <w:tblCellMar>
            <w:top w:w="0" w:type="dxa"/>
            <w:left w:w="0" w:type="dxa"/>
            <w:bottom w:w="0" w:type="dxa"/>
            <w:right w:w="0" w:type="dxa"/>
          </w:tblCellMar>
        </w:tblPrEx>
        <w:trPr>
          <w:trHeight w:val="424" w:hRule="atLeast"/>
          <w:jc w:val="center"/>
        </w:trPr>
        <w:tc>
          <w:tcPr>
            <w:tcW w:w="340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1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19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424" w:hRule="atLeast"/>
          <w:jc w:val="center"/>
        </w:trPr>
        <w:tc>
          <w:tcPr>
            <w:tcW w:w="104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2.26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1.13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-1.08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-2.17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-1.41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1.26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-1.21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1.39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-1.34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1.22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-1.17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-1.35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-0.14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-0.94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-1.89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1192"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193"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193"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191"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r>
      <w:tr>
        <w:tblPrEx>
          <w:tblCellMar>
            <w:top w:w="0" w:type="dxa"/>
            <w:left w:w="0" w:type="dxa"/>
            <w:bottom w:w="0" w:type="dxa"/>
            <w:right w:w="0" w:type="dxa"/>
          </w:tblCellMar>
        </w:tblPrEx>
        <w:trPr>
          <w:trHeight w:val="451" w:hRule="atLeast"/>
          <w:jc w:val="center"/>
        </w:trPr>
        <w:tc>
          <w:tcPr>
            <w:tcW w:w="104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35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1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1.73 </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119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-1.66 </w:t>
            </w:r>
          </w:p>
        </w:tc>
      </w:tr>
      <w:tr>
        <w:tblPrEx>
          <w:tblCellMar>
            <w:top w:w="0" w:type="dxa"/>
            <w:left w:w="0" w:type="dxa"/>
            <w:bottom w:w="0" w:type="dxa"/>
            <w:right w:w="0" w:type="dxa"/>
          </w:tblCellMar>
        </w:tblPrEx>
        <w:trPr>
          <w:trHeight w:val="204" w:hRule="atLeast"/>
          <w:jc w:val="center"/>
        </w:trPr>
        <w:tc>
          <w:tcPr>
            <w:tcW w:w="10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35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1.35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19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-1.29 </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156" w:beforeAutospacing="0" w:after="156"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表3-4-6  南昌市城区三级工业用地宗地地价修正系数说明表</w:t>
      </w:r>
    </w:p>
    <w:tbl>
      <w:tblPr>
        <w:tblW w:w="5300" w:type="pct"/>
        <w:jc w:val="center"/>
        <w:shd w:val="clear"/>
        <w:tblLayout w:type="autofit"/>
        <w:tblCellMar>
          <w:top w:w="0" w:type="dxa"/>
          <w:left w:w="0" w:type="dxa"/>
          <w:bottom w:w="0" w:type="dxa"/>
          <w:right w:w="0" w:type="dxa"/>
        </w:tblCellMar>
      </w:tblPr>
      <w:tblGrid>
        <w:gridCol w:w="501"/>
        <w:gridCol w:w="2148"/>
        <w:gridCol w:w="1149"/>
        <w:gridCol w:w="1402"/>
        <w:gridCol w:w="1406"/>
        <w:gridCol w:w="1406"/>
        <w:gridCol w:w="1021"/>
      </w:tblGrid>
      <w:tr>
        <w:tblPrEx>
          <w:shd w:val="clear"/>
          <w:tblCellMar>
            <w:top w:w="0" w:type="dxa"/>
            <w:left w:w="0" w:type="dxa"/>
            <w:bottom w:w="0" w:type="dxa"/>
            <w:right w:w="0" w:type="dxa"/>
          </w:tblCellMar>
        </w:tblPrEx>
        <w:trPr>
          <w:trHeight w:val="270" w:hRule="atLeast"/>
          <w:tblHeader/>
          <w:jc w:val="center"/>
        </w:trPr>
        <w:tc>
          <w:tcPr>
            <w:tcW w:w="1467"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63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77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77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77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56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285" w:hRule="atLeast"/>
          <w:jc w:val="center"/>
        </w:trPr>
        <w:tc>
          <w:tcPr>
            <w:tcW w:w="27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&lt;1500m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1501—1800m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1801—2100m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2101—2400m</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&gt;2400m</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&lt;1500m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1501—1800m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1801—2100m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2101—2400m</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&gt;2400m</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&lt;1500m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1501—1800m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1801—2100m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2101—2400m</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&gt;2400m</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&gt;86</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86～72</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72～58</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58～44</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＜44</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60—80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40—60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20—40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0—20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&gt;200ha</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100-200ha</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50-100ha</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20-50ha</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&lt;20ha</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4</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&gt;1000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500-1000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100-500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50-100</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&lt;50</w:t>
            </w:r>
          </w:p>
        </w:tc>
      </w:tr>
      <w:tr>
        <w:tblPrEx>
          <w:tblCellMar>
            <w:top w:w="0" w:type="dxa"/>
            <w:left w:w="0" w:type="dxa"/>
            <w:bottom w:w="0" w:type="dxa"/>
            <w:right w:w="0" w:type="dxa"/>
          </w:tblCellMar>
        </w:tblPrEx>
        <w:trPr>
          <w:trHeight w:val="285"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&gt;6</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4-6</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w:t>
            </w:r>
          </w:p>
        </w:tc>
      </w:tr>
      <w:tr>
        <w:tblPrEx>
          <w:tblCellMar>
            <w:top w:w="0" w:type="dxa"/>
            <w:left w:w="0" w:type="dxa"/>
            <w:bottom w:w="0" w:type="dxa"/>
            <w:right w:w="0" w:type="dxa"/>
          </w:tblCellMar>
        </w:tblPrEx>
        <w:trPr>
          <w:trHeight w:val="720" w:hRule="atLeast"/>
          <w:jc w:val="center"/>
        </w:trPr>
        <w:tc>
          <w:tcPr>
            <w:tcW w:w="27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面积对土地利用较为有利</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480" w:hRule="atLeast"/>
          <w:jc w:val="center"/>
        </w:trPr>
        <w:tc>
          <w:tcPr>
            <w:tcW w:w="2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8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3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表3-4-7  南昌市城区四级工业用地宗地地价修正系数表</w:t>
      </w:r>
    </w:p>
    <w:p>
      <w:pPr>
        <w:pStyle w:val="4"/>
        <w:keepNext w:val="0"/>
        <w:keepLines w:val="0"/>
        <w:widowControl/>
        <w:suppressLineNumbers w:val="0"/>
        <w:spacing w:before="0" w:beforeAutospacing="0" w:after="0" w:afterAutospacing="0" w:line="440" w:lineRule="atLeast"/>
        <w:ind w:left="562" w:right="0" w:firstLine="42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8940" w:type="dxa"/>
        <w:jc w:val="center"/>
        <w:shd w:val="clear"/>
        <w:tblLayout w:type="autofit"/>
        <w:tblCellMar>
          <w:top w:w="0" w:type="dxa"/>
          <w:left w:w="0" w:type="dxa"/>
          <w:bottom w:w="0" w:type="dxa"/>
          <w:right w:w="0" w:type="dxa"/>
        </w:tblCellMar>
      </w:tblPr>
      <w:tblGrid>
        <w:gridCol w:w="1006"/>
        <w:gridCol w:w="2569"/>
        <w:gridCol w:w="1073"/>
        <w:gridCol w:w="1073"/>
        <w:gridCol w:w="1073"/>
        <w:gridCol w:w="1073"/>
        <w:gridCol w:w="1073"/>
      </w:tblGrid>
      <w:tr>
        <w:tblPrEx>
          <w:shd w:val="clear"/>
          <w:tblCellMar>
            <w:top w:w="0" w:type="dxa"/>
            <w:left w:w="0" w:type="dxa"/>
            <w:bottom w:w="0" w:type="dxa"/>
            <w:right w:w="0" w:type="dxa"/>
          </w:tblCellMar>
        </w:tblPrEx>
        <w:trPr>
          <w:trHeight w:val="453" w:hRule="atLeast"/>
          <w:tblHeader/>
          <w:jc w:val="center"/>
        </w:trPr>
        <w:tc>
          <w:tcPr>
            <w:tcW w:w="357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0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0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0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453" w:hRule="atLeast"/>
          <w:jc w:val="center"/>
        </w:trPr>
        <w:tc>
          <w:tcPr>
            <w:tcW w:w="100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1.67</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-1.89</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1.09</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-1.23</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0.46</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-1.06</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-0.58</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-1.17</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-0.51</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-1.02</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-0.59</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-1.17</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0.11</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0.31</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-0.71</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0.66</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-0.38</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-0.75</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-1.65</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-0.16</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-0.33</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-0.17</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-0.34</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-0.29</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-0.13</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-0.26</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0.25</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-0.28</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-0.14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-0.27</w:t>
            </w:r>
          </w:p>
        </w:tc>
      </w:tr>
      <w:tr>
        <w:tblPrEx>
          <w:tblCellMar>
            <w:top w:w="0" w:type="dxa"/>
            <w:left w:w="0" w:type="dxa"/>
            <w:bottom w:w="0" w:type="dxa"/>
            <w:right w:w="0" w:type="dxa"/>
          </w:tblCellMar>
        </w:tblPrEx>
        <w:trPr>
          <w:trHeight w:val="482" w:hRule="atLeast"/>
          <w:jc w:val="center"/>
        </w:trPr>
        <w:tc>
          <w:tcPr>
            <w:tcW w:w="100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1.28</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0.64</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-0.72</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-1.45</w:t>
            </w:r>
          </w:p>
        </w:tc>
      </w:tr>
      <w:tr>
        <w:tblPrEx>
          <w:tblCellMar>
            <w:top w:w="0" w:type="dxa"/>
            <w:left w:w="0" w:type="dxa"/>
            <w:bottom w:w="0" w:type="dxa"/>
            <w:right w:w="0" w:type="dxa"/>
          </w:tblCellMar>
        </w:tblPrEx>
        <w:trPr>
          <w:trHeight w:val="218" w:hRule="atLeast"/>
          <w:jc w:val="center"/>
        </w:trPr>
        <w:tc>
          <w:tcPr>
            <w:tcW w:w="100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571"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0.99</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073"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-1.13</w:t>
            </w:r>
          </w:p>
        </w:tc>
      </w:tr>
    </w:tbl>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156" w:beforeAutospacing="0" w:after="156"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表3-4-8  南昌市城区四级工业用地宗地地价修正系数说明表</w:t>
      </w:r>
    </w:p>
    <w:tbl>
      <w:tblPr>
        <w:tblW w:w="5300" w:type="pct"/>
        <w:tblInd w:w="0" w:type="dxa"/>
        <w:shd w:val="clear"/>
        <w:tblLayout w:type="autofit"/>
        <w:tblCellMar>
          <w:top w:w="0" w:type="dxa"/>
          <w:left w:w="0" w:type="dxa"/>
          <w:bottom w:w="0" w:type="dxa"/>
          <w:right w:w="0" w:type="dxa"/>
        </w:tblCellMar>
      </w:tblPr>
      <w:tblGrid>
        <w:gridCol w:w="466"/>
        <w:gridCol w:w="2045"/>
        <w:gridCol w:w="1140"/>
        <w:gridCol w:w="1399"/>
        <w:gridCol w:w="1395"/>
        <w:gridCol w:w="1317"/>
        <w:gridCol w:w="1271"/>
      </w:tblGrid>
      <w:tr>
        <w:tblPrEx>
          <w:shd w:val="clear"/>
          <w:tblCellMar>
            <w:top w:w="0" w:type="dxa"/>
            <w:left w:w="0" w:type="dxa"/>
            <w:bottom w:w="0" w:type="dxa"/>
            <w:right w:w="0" w:type="dxa"/>
          </w:tblCellMar>
        </w:tblPrEx>
        <w:trPr>
          <w:trHeight w:val="270" w:hRule="atLeast"/>
        </w:trPr>
        <w:tc>
          <w:tcPr>
            <w:tcW w:w="1398"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3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7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7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0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07"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CellMar>
            <w:top w:w="0" w:type="dxa"/>
            <w:left w:w="0" w:type="dxa"/>
            <w:bottom w:w="0" w:type="dxa"/>
            <w:right w:w="0" w:type="dxa"/>
          </w:tblCellMar>
        </w:tblPrEx>
        <w:trPr>
          <w:trHeight w:val="285" w:hRule="atLeast"/>
        </w:trPr>
        <w:tc>
          <w:tcPr>
            <w:tcW w:w="26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区域因素</w:t>
            </w: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2001—2300m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2301—2600m</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2601—2900m</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&gt;2900m</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2001—2300m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2301—2600m</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2601—2900m</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&gt;2900m</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&lt;2000m</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2001—2300m</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2301—2600m</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2601—2900m</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&gt;2900m</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&gt;86</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86～72</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72～58</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58～44</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＜44</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&gt;200ha</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100-200ha</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50-100ha</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20-50ha</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&lt;20ha</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&gt;1000</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500-1000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100-500</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&lt;50</w:t>
            </w:r>
          </w:p>
        </w:tc>
      </w:tr>
      <w:tr>
        <w:tblPrEx>
          <w:tblCellMar>
            <w:top w:w="0" w:type="dxa"/>
            <w:left w:w="0" w:type="dxa"/>
            <w:bottom w:w="0" w:type="dxa"/>
            <w:right w:w="0" w:type="dxa"/>
          </w:tblCellMar>
        </w:tblPrEx>
        <w:trPr>
          <w:trHeight w:val="285"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720" w:hRule="atLeast"/>
        </w:trPr>
        <w:tc>
          <w:tcPr>
            <w:tcW w:w="26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面积适中，对土地利用极为有利</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面积对土地利用较为有利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面积对土地利用无不良影响</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面积较小或较大，对土地利用有一定影响</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面积过小或过大，对土地利用产生严重的影响</w:t>
            </w:r>
          </w:p>
        </w:tc>
      </w:tr>
      <w:tr>
        <w:tblPrEx>
          <w:tblCellMar>
            <w:top w:w="0" w:type="dxa"/>
            <w:left w:w="0" w:type="dxa"/>
            <w:bottom w:w="0" w:type="dxa"/>
            <w:right w:w="0" w:type="dxa"/>
          </w:tblCellMar>
        </w:tblPrEx>
        <w:trPr>
          <w:trHeight w:val="480" w:hRule="atLeast"/>
        </w:trPr>
        <w:tc>
          <w:tcPr>
            <w:tcW w:w="26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形状规则，对土地利用极为有利</w:t>
            </w:r>
          </w:p>
        </w:tc>
        <w:tc>
          <w:tcPr>
            <w:tcW w:w="77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形状较规则，对土地利用较为有利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形状对土地利用无不良影响</w:t>
            </w:r>
          </w:p>
        </w:tc>
        <w:tc>
          <w:tcPr>
            <w:tcW w:w="70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形状不规则，对土地利用有一定影响</w:t>
            </w:r>
          </w:p>
        </w:tc>
        <w:tc>
          <w:tcPr>
            <w:tcW w:w="70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表3-4-9  南昌市城区五级工业用地宗地地价修正系数表</w:t>
      </w:r>
    </w:p>
    <w:p>
      <w:pPr>
        <w:pStyle w:val="4"/>
        <w:keepNext w:val="0"/>
        <w:keepLines w:val="0"/>
        <w:widowControl/>
        <w:suppressLineNumbers w:val="0"/>
        <w:spacing w:before="0" w:beforeAutospacing="0" w:after="0" w:afterAutospacing="0" w:line="440" w:lineRule="atLeast"/>
        <w:ind w:left="0" w:right="0" w:firstLine="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9075" w:type="dxa"/>
        <w:jc w:val="center"/>
        <w:shd w:val="clear"/>
        <w:tblLayout w:type="autofit"/>
        <w:tblCellMar>
          <w:top w:w="0" w:type="dxa"/>
          <w:left w:w="0" w:type="dxa"/>
          <w:bottom w:w="0" w:type="dxa"/>
          <w:right w:w="0" w:type="dxa"/>
        </w:tblCellMar>
      </w:tblPr>
      <w:tblGrid>
        <w:gridCol w:w="1021"/>
        <w:gridCol w:w="2609"/>
        <w:gridCol w:w="1089"/>
        <w:gridCol w:w="1089"/>
        <w:gridCol w:w="1089"/>
        <w:gridCol w:w="1089"/>
        <w:gridCol w:w="1089"/>
      </w:tblGrid>
      <w:tr>
        <w:tblPrEx>
          <w:shd w:val="clear"/>
          <w:tblCellMar>
            <w:top w:w="0" w:type="dxa"/>
            <w:left w:w="0" w:type="dxa"/>
            <w:bottom w:w="0" w:type="dxa"/>
            <w:right w:w="0" w:type="dxa"/>
          </w:tblCellMar>
        </w:tblPrEx>
        <w:trPr>
          <w:trHeight w:val="363" w:hRule="atLeast"/>
          <w:jc w:val="center"/>
        </w:trPr>
        <w:tc>
          <w:tcPr>
            <w:tcW w:w="363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08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363" w:hRule="atLeast"/>
          <w:jc w:val="center"/>
        </w:trPr>
        <w:tc>
          <w:tcPr>
            <w:tcW w:w="102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1.35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1.17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-1.28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-0.13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0.12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-0.13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r>
      <w:tr>
        <w:tblPrEx>
          <w:tblCellMar>
            <w:top w:w="0" w:type="dxa"/>
            <w:left w:w="0" w:type="dxa"/>
            <w:bottom w:w="0" w:type="dxa"/>
            <w:right w:w="0" w:type="dxa"/>
          </w:tblCellMar>
        </w:tblPrEx>
        <w:trPr>
          <w:trHeight w:val="363"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424" w:hRule="atLeast"/>
          <w:jc w:val="center"/>
        </w:trPr>
        <w:tc>
          <w:tcPr>
            <w:tcW w:w="102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1.03</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0.52</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-0.56</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-1.13</w:t>
            </w:r>
          </w:p>
        </w:tc>
      </w:tr>
      <w:tr>
        <w:tblPrEx>
          <w:tblCellMar>
            <w:top w:w="0" w:type="dxa"/>
            <w:left w:w="0" w:type="dxa"/>
            <w:bottom w:w="0" w:type="dxa"/>
            <w:right w:w="0" w:type="dxa"/>
          </w:tblCellMar>
        </w:tblPrEx>
        <w:trPr>
          <w:trHeight w:val="424" w:hRule="atLeast"/>
          <w:jc w:val="center"/>
        </w:trPr>
        <w:tc>
          <w:tcPr>
            <w:tcW w:w="102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6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0.00</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-0.44</w:t>
            </w:r>
          </w:p>
        </w:tc>
        <w:tc>
          <w:tcPr>
            <w:tcW w:w="108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-0.88</w:t>
            </w:r>
          </w:p>
        </w:tc>
      </w:tr>
    </w:tbl>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156" w:beforeAutospacing="0" w:after="156"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4"/>
          <w:szCs w:val="24"/>
          <w:bdr w:val="none" w:color="auto" w:sz="0" w:space="0"/>
        </w:rPr>
        <w:br w:type="page"/>
      </w:r>
      <w:r>
        <w:rPr>
          <w:rFonts w:hint="eastAsia" w:ascii="仿宋" w:hAnsi="仿宋" w:eastAsia="仿宋" w:cs="仿宋"/>
          <w:b/>
          <w:color w:val="333333"/>
          <w:sz w:val="21"/>
          <w:szCs w:val="21"/>
        </w:rPr>
        <w:t>表3-4-10  南昌市城区五级工业用地宗地地价修正系数说明表</w:t>
      </w:r>
    </w:p>
    <w:tbl>
      <w:tblPr>
        <w:tblW w:w="5200" w:type="pct"/>
        <w:jc w:val="center"/>
        <w:shd w:val="clear"/>
        <w:tblLayout w:type="autofit"/>
        <w:tblCellMar>
          <w:top w:w="0" w:type="dxa"/>
          <w:left w:w="0" w:type="dxa"/>
          <w:bottom w:w="0" w:type="dxa"/>
          <w:right w:w="0" w:type="dxa"/>
        </w:tblCellMar>
      </w:tblPr>
      <w:tblGrid>
        <w:gridCol w:w="532"/>
        <w:gridCol w:w="1912"/>
        <w:gridCol w:w="1109"/>
        <w:gridCol w:w="1316"/>
        <w:gridCol w:w="1316"/>
        <w:gridCol w:w="1316"/>
        <w:gridCol w:w="1362"/>
      </w:tblGrid>
      <w:tr>
        <w:tblPrEx>
          <w:shd w:val="clear"/>
          <w:tblCellMar>
            <w:top w:w="0" w:type="dxa"/>
            <w:left w:w="0" w:type="dxa"/>
            <w:bottom w:w="0" w:type="dxa"/>
            <w:right w:w="0" w:type="dxa"/>
          </w:tblCellMar>
        </w:tblPrEx>
        <w:trPr>
          <w:trHeight w:val="270" w:hRule="atLeast"/>
          <w:jc w:val="center"/>
        </w:trPr>
        <w:tc>
          <w:tcPr>
            <w:tcW w:w="1418"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64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1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17"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1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8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CellMar>
            <w:top w:w="0" w:type="dxa"/>
            <w:left w:w="0" w:type="dxa"/>
            <w:bottom w:w="0" w:type="dxa"/>
            <w:right w:w="0" w:type="dxa"/>
          </w:tblCellMar>
        </w:tblPrEx>
        <w:trPr>
          <w:trHeight w:val="285" w:hRule="atLeast"/>
          <w:jc w:val="center"/>
        </w:trPr>
        <w:tc>
          <w:tcPr>
            <w:tcW w:w="32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区域因素</w:t>
            </w: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&lt;2500m</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2501—2800m</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2801—3100m</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3101—3400m</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&gt;3400m</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&lt;2500m</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2501—2800m</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2801—3100m</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3101—3400m</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&gt;3400m</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&lt;2500m</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2501—2800m</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2801—3100m</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3101—3400m</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&gt;3400m</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&gt;86</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86～72</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72～58</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58～44</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＜44</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&gt;200ha</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100-200ha</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50-100ha</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20-50ha</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&lt;20ha</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&gt;1000</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500-1000</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100-500</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&lt;50</w:t>
            </w:r>
          </w:p>
        </w:tc>
      </w:tr>
      <w:tr>
        <w:tblPrEx>
          <w:tblCellMar>
            <w:top w:w="0" w:type="dxa"/>
            <w:left w:w="0" w:type="dxa"/>
            <w:bottom w:w="0" w:type="dxa"/>
            <w:right w:w="0" w:type="dxa"/>
          </w:tblCellMar>
        </w:tblPrEx>
        <w:trPr>
          <w:trHeight w:val="285"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720" w:hRule="atLeast"/>
          <w:jc w:val="center"/>
        </w:trPr>
        <w:tc>
          <w:tcPr>
            <w:tcW w:w="32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面积适中，对土地利用极为有利</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面积对土地利用较为有利</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面积对土地利用无不良影响</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面积较小或较大，对土地利用有一定影响</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面积过小或过大，对土地利用产生严重的影响</w:t>
            </w:r>
          </w:p>
        </w:tc>
      </w:tr>
      <w:tr>
        <w:tblPrEx>
          <w:tblCellMar>
            <w:top w:w="0" w:type="dxa"/>
            <w:left w:w="0" w:type="dxa"/>
            <w:bottom w:w="0" w:type="dxa"/>
            <w:right w:w="0" w:type="dxa"/>
          </w:tblCellMar>
        </w:tblPrEx>
        <w:trPr>
          <w:trHeight w:val="480" w:hRule="atLeast"/>
          <w:jc w:val="center"/>
        </w:trPr>
        <w:tc>
          <w:tcPr>
            <w:tcW w:w="32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9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64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形状规则，对土地利用极为有利</w:t>
            </w:r>
          </w:p>
        </w:tc>
        <w:tc>
          <w:tcPr>
            <w:tcW w:w="71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形状较规则，对土地利用较为有利</w:t>
            </w:r>
          </w:p>
        </w:tc>
        <w:tc>
          <w:tcPr>
            <w:tcW w:w="71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形状对土地利用无不良影响</w:t>
            </w:r>
          </w:p>
        </w:tc>
        <w:tc>
          <w:tcPr>
            <w:tcW w:w="71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形状不规则，对土地利用有一定影响</w:t>
            </w:r>
          </w:p>
        </w:tc>
        <w:tc>
          <w:tcPr>
            <w:tcW w:w="78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表3-4-11  南昌市城区六级工业用地宗地地价修正系数表</w:t>
      </w:r>
    </w:p>
    <w:p>
      <w:pPr>
        <w:pStyle w:val="4"/>
        <w:keepNext w:val="0"/>
        <w:keepLines w:val="0"/>
        <w:widowControl/>
        <w:suppressLineNumbers w:val="0"/>
        <w:spacing w:before="0" w:beforeAutospacing="0" w:after="0" w:afterAutospacing="0" w:line="440" w:lineRule="atLeast"/>
        <w:ind w:left="0" w:right="0" w:firstLine="0"/>
        <w:jc w:val="right"/>
        <w:rPr>
          <w:rFonts w:hint="default" w:ascii="Calibri" w:hAnsi="Calibri" w:cs="Calibri"/>
          <w:sz w:val="21"/>
          <w:szCs w:val="21"/>
        </w:rPr>
      </w:pPr>
      <w:r>
        <w:rPr>
          <w:rFonts w:hint="eastAsia" w:ascii="仿宋" w:hAnsi="仿宋" w:eastAsia="仿宋" w:cs="仿宋"/>
          <w:color w:val="333333"/>
          <w:sz w:val="21"/>
          <w:szCs w:val="21"/>
        </w:rPr>
        <w:t>单位：%</w:t>
      </w:r>
    </w:p>
    <w:tbl>
      <w:tblPr>
        <w:tblW w:w="8445" w:type="dxa"/>
        <w:jc w:val="center"/>
        <w:shd w:val="clear"/>
        <w:tblLayout w:type="autofit"/>
        <w:tblCellMar>
          <w:top w:w="0" w:type="dxa"/>
          <w:left w:w="0" w:type="dxa"/>
          <w:bottom w:w="0" w:type="dxa"/>
          <w:right w:w="0" w:type="dxa"/>
        </w:tblCellMar>
      </w:tblPr>
      <w:tblGrid>
        <w:gridCol w:w="910"/>
        <w:gridCol w:w="2130"/>
        <w:gridCol w:w="1081"/>
        <w:gridCol w:w="1081"/>
        <w:gridCol w:w="1081"/>
        <w:gridCol w:w="1081"/>
        <w:gridCol w:w="1081"/>
      </w:tblGrid>
      <w:tr>
        <w:tblPrEx>
          <w:shd w:val="clear"/>
          <w:tblCellMar>
            <w:top w:w="0" w:type="dxa"/>
            <w:left w:w="0" w:type="dxa"/>
            <w:bottom w:w="0" w:type="dxa"/>
            <w:right w:w="0" w:type="dxa"/>
          </w:tblCellMar>
        </w:tblPrEx>
        <w:trPr>
          <w:trHeight w:val="270" w:hRule="atLeast"/>
          <w:jc w:val="center"/>
        </w:trPr>
        <w:tc>
          <w:tcPr>
            <w:tcW w:w="304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510" w:hRule="atLeast"/>
          <w:jc w:val="center"/>
        </w:trPr>
        <w:tc>
          <w:tcPr>
            <w:tcW w:w="91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1.25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-1.19 </w:t>
            </w:r>
          </w:p>
        </w:tc>
      </w:tr>
      <w:tr>
        <w:tblPrEx>
          <w:tblCellMar>
            <w:top w:w="0" w:type="dxa"/>
            <w:left w:w="0" w:type="dxa"/>
            <w:bottom w:w="0" w:type="dxa"/>
            <w:right w:w="0" w:type="dxa"/>
          </w:tblCellMar>
        </w:tblPrEx>
        <w:trPr>
          <w:trHeight w:val="765"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-1.04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270"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108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8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80" w:type="dxa"/>
            <w:tcBorders>
              <w:top w:val="nil"/>
              <w:left w:val="nil"/>
              <w:bottom w:val="nil"/>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315" w:hRule="atLeast"/>
          <w:jc w:val="center"/>
        </w:trPr>
        <w:tc>
          <w:tcPr>
            <w:tcW w:w="91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因素</w:t>
            </w:r>
          </w:p>
        </w:tc>
        <w:tc>
          <w:tcPr>
            <w:tcW w:w="213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r>
      <w:tr>
        <w:tblPrEx>
          <w:tblCellMar>
            <w:top w:w="0" w:type="dxa"/>
            <w:left w:w="0" w:type="dxa"/>
            <w:bottom w:w="0" w:type="dxa"/>
            <w:right w:w="0" w:type="dxa"/>
          </w:tblCellMar>
        </w:tblPrEx>
        <w:trPr>
          <w:trHeight w:val="315" w:hRule="atLeast"/>
          <w:jc w:val="center"/>
        </w:trPr>
        <w:tc>
          <w:tcPr>
            <w:tcW w:w="91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0.00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bl>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4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表3-4-12  南昌市城区六级工业用地宗地地价修正系数说明表</w:t>
      </w:r>
    </w:p>
    <w:tbl>
      <w:tblPr>
        <w:tblW w:w="5000" w:type="pct"/>
        <w:tblInd w:w="0" w:type="dxa"/>
        <w:shd w:val="clear"/>
        <w:tblLayout w:type="autofit"/>
        <w:tblCellMar>
          <w:top w:w="0" w:type="dxa"/>
          <w:left w:w="0" w:type="dxa"/>
          <w:bottom w:w="0" w:type="dxa"/>
          <w:right w:w="0" w:type="dxa"/>
        </w:tblCellMar>
      </w:tblPr>
      <w:tblGrid>
        <w:gridCol w:w="416"/>
        <w:gridCol w:w="1963"/>
        <w:gridCol w:w="938"/>
        <w:gridCol w:w="1316"/>
        <w:gridCol w:w="1316"/>
        <w:gridCol w:w="1316"/>
        <w:gridCol w:w="1257"/>
      </w:tblGrid>
      <w:tr>
        <w:tblPrEx>
          <w:shd w:val="clear"/>
          <w:tblCellMar>
            <w:top w:w="0" w:type="dxa"/>
            <w:left w:w="0" w:type="dxa"/>
            <w:bottom w:w="0" w:type="dxa"/>
            <w:right w:w="0" w:type="dxa"/>
          </w:tblCellMar>
        </w:tblPrEx>
        <w:trPr>
          <w:trHeight w:val="270" w:hRule="atLeast"/>
        </w:trPr>
        <w:tc>
          <w:tcPr>
            <w:tcW w:w="1406"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422"/>
              <w:jc w:val="center"/>
              <w:rPr>
                <w:rFonts w:hint="default" w:ascii="Calibri" w:hAnsi="Calibri" w:cs="Calibri"/>
                <w:sz w:val="21"/>
                <w:szCs w:val="21"/>
              </w:rPr>
            </w:pPr>
            <w:r>
              <w:rPr>
                <w:rFonts w:hint="eastAsia" w:ascii="仿宋" w:hAnsi="仿宋" w:eastAsia="仿宋" w:cs="仿宋"/>
                <w:b/>
                <w:color w:val="333333"/>
                <w:sz w:val="20"/>
                <w:szCs w:val="20"/>
              </w:rPr>
              <w:t>修正因素</w:t>
            </w:r>
          </w:p>
        </w:tc>
        <w:tc>
          <w:tcPr>
            <w:tcW w:w="56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优</w:t>
            </w:r>
          </w:p>
        </w:tc>
        <w:tc>
          <w:tcPr>
            <w:tcW w:w="75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较优</w:t>
            </w:r>
          </w:p>
        </w:tc>
        <w:tc>
          <w:tcPr>
            <w:tcW w:w="757"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一般</w:t>
            </w:r>
          </w:p>
        </w:tc>
        <w:tc>
          <w:tcPr>
            <w:tcW w:w="75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较劣</w:t>
            </w:r>
          </w:p>
        </w:tc>
        <w:tc>
          <w:tcPr>
            <w:tcW w:w="75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0"/>
                <w:szCs w:val="20"/>
              </w:rPr>
              <w:t>劣</w:t>
            </w:r>
          </w:p>
        </w:tc>
      </w:tr>
      <w:tr>
        <w:tblPrEx>
          <w:tblCellMar>
            <w:top w:w="0" w:type="dxa"/>
            <w:left w:w="0" w:type="dxa"/>
            <w:bottom w:w="0" w:type="dxa"/>
            <w:right w:w="0" w:type="dxa"/>
          </w:tblCellMar>
        </w:tblPrEx>
        <w:trPr>
          <w:trHeight w:val="285" w:hRule="atLeast"/>
        </w:trPr>
        <w:tc>
          <w:tcPr>
            <w:tcW w:w="23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区域因素</w:t>
            </w: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距火车站、机场、码头距离</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&lt;3000m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3001—3300m</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3301—3600m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3601—3900m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&gt;3900m</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&lt;3000m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3001—3300m</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3301—3600m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3601—3900m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&gt;3900m</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工程地质（定级分值）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水文地质（定级分值）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地形平坦（定级分值）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地势高低（定级分值）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距规划火车东站距离</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&lt;3000m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3001—3300m</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3301—3600m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3601—3900m</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&gt;3900m</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工业产业数 （定级分值）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&gt;86</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86～72</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72～58</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58～44</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＜44</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80—100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60—80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40—60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20—40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0—20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物流中心用地规模（定级分值）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&gt;200ha</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100-200ha</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50-100ha</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20-50ha</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&lt;20ha</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链接交通通道数量（定级分值）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生产性服务业企业数量（定级分值）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&gt;1000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500-1000</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100-500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50-100</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&lt;50</w:t>
            </w:r>
          </w:p>
        </w:tc>
      </w:tr>
      <w:tr>
        <w:tblPrEx>
          <w:tblCellMar>
            <w:top w:w="0" w:type="dxa"/>
            <w:left w:w="0" w:type="dxa"/>
            <w:bottom w:w="0" w:type="dxa"/>
            <w:right w:w="0" w:type="dxa"/>
          </w:tblCellMar>
        </w:tblPrEx>
        <w:trPr>
          <w:trHeight w:val="285"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服务功能种数（定级分值）</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&gt;6</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4-6</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3</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2</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1</w:t>
            </w:r>
          </w:p>
        </w:tc>
      </w:tr>
      <w:tr>
        <w:tblPrEx>
          <w:tblCellMar>
            <w:top w:w="0" w:type="dxa"/>
            <w:left w:w="0" w:type="dxa"/>
            <w:bottom w:w="0" w:type="dxa"/>
            <w:right w:w="0" w:type="dxa"/>
          </w:tblCellMar>
        </w:tblPrEx>
        <w:trPr>
          <w:trHeight w:val="720" w:hRule="atLeast"/>
        </w:trPr>
        <w:tc>
          <w:tcPr>
            <w:tcW w:w="23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个别因素</w:t>
            </w: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宗地面积</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面积适中，对土地利用极为有利</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面积对土地利用较为有利</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面积对土地利用无不良影响</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面积较小或较大，对土地利用有一定影响</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面积过小或过大，对土地利用产生严重的影响</w:t>
            </w:r>
          </w:p>
        </w:tc>
      </w:tr>
      <w:tr>
        <w:tblPrEx>
          <w:tblCellMar>
            <w:top w:w="0" w:type="dxa"/>
            <w:left w:w="0" w:type="dxa"/>
            <w:bottom w:w="0" w:type="dxa"/>
            <w:right w:w="0" w:type="dxa"/>
          </w:tblCellMar>
        </w:tblPrEx>
        <w:trPr>
          <w:trHeight w:val="480" w:hRule="atLeast"/>
        </w:trPr>
        <w:tc>
          <w:tcPr>
            <w:tcW w:w="23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7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0"/>
                <w:szCs w:val="20"/>
              </w:rPr>
              <w:t>宗地形状</w:t>
            </w:r>
          </w:p>
        </w:tc>
        <w:tc>
          <w:tcPr>
            <w:tcW w:w="56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形状规则，对土地利用极为有利</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形状较规则，对土地利用较为有利</w:t>
            </w:r>
          </w:p>
        </w:tc>
        <w:tc>
          <w:tcPr>
            <w:tcW w:w="7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形状对土地利用无不良影响</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形状不规则，对土地利用有一定影响</w:t>
            </w:r>
          </w:p>
        </w:tc>
        <w:tc>
          <w:tcPr>
            <w:tcW w:w="75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0"/>
                <w:szCs w:val="20"/>
              </w:rPr>
              <w:t>形状较差，对土地利用产生严重的影响</w:t>
            </w:r>
          </w:p>
        </w:tc>
      </w:tr>
    </w:tbl>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bdr w:val="none" w:color="auto" w:sz="0" w:space="0"/>
        </w:rPr>
        <w:br w:type="page"/>
      </w:r>
      <w:r>
        <w:rPr>
          <w:rFonts w:hint="eastAsia" w:ascii="仿宋" w:hAnsi="仿宋" w:eastAsia="仿宋" w:cs="仿宋"/>
          <w:b/>
          <w:color w:val="333333"/>
          <w:sz w:val="28"/>
          <w:szCs w:val="28"/>
        </w:rPr>
        <w:t>二、工业用地地价其他因素修正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（一）使用年限修正</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工业用地使用权法定最高出让年限为50年，土地还原利率按不同年限实际求取，根据公式：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504950" cy="828675"/>
            <wp:effectExtent l="0" t="0" r="0" b="8890"/>
            <wp:docPr id="40"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2" descr="IMG_297"/>
                    <pic:cNvPicPr>
                      <a:picLocks noChangeAspect="1"/>
                    </pic:cNvPicPr>
                  </pic:nvPicPr>
                  <pic:blipFill>
                    <a:blip r:embed="rId32"/>
                    <a:stretch>
                      <a:fillRect/>
                    </a:stretch>
                  </pic:blipFill>
                  <pic:spPr>
                    <a:xfrm>
                      <a:off x="0" y="0"/>
                      <a:ext cx="1504950" cy="82867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162050" cy="828675"/>
            <wp:effectExtent l="0" t="0" r="0" b="8890"/>
            <wp:docPr id="33"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3" descr="IMG_298"/>
                    <pic:cNvPicPr>
                      <a:picLocks noChangeAspect="1"/>
                    </pic:cNvPicPr>
                  </pic:nvPicPr>
                  <pic:blipFill>
                    <a:blip r:embed="rId33"/>
                    <a:stretch>
                      <a:fillRect/>
                    </a:stretch>
                  </pic:blipFill>
                  <pic:spPr>
                    <a:xfrm>
                      <a:off x="0" y="0"/>
                      <a:ext cx="1162050" cy="82867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式中，n：—剩余土地使用权年限</w:t>
      </w:r>
    </w:p>
    <w:p>
      <w:pPr>
        <w:pStyle w:val="4"/>
        <w:keepNext w:val="0"/>
        <w:keepLines w:val="0"/>
        <w:widowControl/>
        <w:suppressLineNumbers w:val="0"/>
        <w:spacing w:before="0" w:beforeAutospacing="0" w:after="0"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      r：—工业用地土地还原利率</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（二）估价期日修正</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default" w:ascii="Calibri" w:hAnsi="Calibri" w:cs="Calibri"/>
          <w:color w:val="333333"/>
          <w:sz w:val="21"/>
          <w:szCs w:val="21"/>
          <w:bdr w:val="none" w:color="auto" w:sz="0" w:space="0"/>
        </w:rPr>
        <w:drawing>
          <wp:inline distT="0" distB="0" distL="114300" distR="114300">
            <wp:extent cx="3162300" cy="590550"/>
            <wp:effectExtent l="0" t="0" r="0" b="0"/>
            <wp:docPr id="31"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4" descr="IMG_299"/>
                    <pic:cNvPicPr>
                      <a:picLocks noChangeAspect="1"/>
                    </pic:cNvPicPr>
                  </pic:nvPicPr>
                  <pic:blipFill>
                    <a:blip r:embed="rId21"/>
                    <a:stretch>
                      <a:fillRect/>
                    </a:stretch>
                  </pic:blipFill>
                  <pic:spPr>
                    <a:xfrm>
                      <a:off x="0" y="0"/>
                      <a:ext cx="3162300" cy="590550"/>
                    </a:xfrm>
                    <a:prstGeom prst="rect">
                      <a:avLst/>
                    </a:prstGeom>
                    <a:noFill/>
                    <a:ln w="9525">
                      <a:noFill/>
                    </a:ln>
                  </pic:spPr>
                </pic:pic>
              </a:graphicData>
            </a:graphic>
          </wp:inline>
        </w:drawing>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（三）开发程度修正</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五通一平”则作加价修正，如果待估宗地开发程度低于基准地价评估设定的“五通一平”则作减价修正。</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（四）宗地地价评估</w:t>
      </w:r>
    </w:p>
    <w:p>
      <w:pPr>
        <w:pStyle w:val="4"/>
        <w:keepNext w:val="0"/>
        <w:keepLines w:val="0"/>
        <w:widowControl/>
        <w:suppressLineNumbers w:val="0"/>
        <w:spacing w:before="94" w:beforeAutospacing="0" w:after="94" w:afterAutospacing="0" w:line="30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rPr>
        <w:t> </w:t>
      </w:r>
      <w:r>
        <w:rPr>
          <w:rFonts w:hint="eastAsia" w:ascii="仿宋" w:hAnsi="仿宋" w:eastAsia="仿宋" w:cs="仿宋"/>
          <w:color w:val="333333"/>
          <w:sz w:val="24"/>
          <w:szCs w:val="24"/>
          <w:bdr w:val="none" w:color="auto" w:sz="0" w:space="0"/>
        </w:rPr>
        <w:drawing>
          <wp:inline distT="0" distB="0" distL="114300" distR="114300">
            <wp:extent cx="3533775" cy="466725"/>
            <wp:effectExtent l="0" t="0" r="9525" b="8255"/>
            <wp:docPr id="30"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5" descr="IMG_300"/>
                    <pic:cNvPicPr>
                      <a:picLocks noChangeAspect="1"/>
                    </pic:cNvPicPr>
                  </pic:nvPicPr>
                  <pic:blipFill>
                    <a:blip r:embed="rId34"/>
                    <a:stretch>
                      <a:fillRect/>
                    </a:stretch>
                  </pic:blipFill>
                  <pic:spPr>
                    <a:xfrm>
                      <a:off x="0" y="0"/>
                      <a:ext cx="3533775"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式中，x：区域因素修正系数，y：个别因素修正系数，w：其他因素修正系数，F：开发程度修正，i：区域因素个数；j，个别因素个数，L：其他因素个数。</w:t>
      </w:r>
    </w:p>
    <w:p>
      <w:pPr>
        <w:pStyle w:val="4"/>
        <w:keepNext/>
        <w:keepLines w:val="0"/>
        <w:widowControl/>
        <w:suppressLineNumbers w:val="0"/>
        <w:spacing w:before="120" w:beforeAutospacing="0" w:after="120" w:afterAutospacing="0" w:line="360" w:lineRule="auto"/>
        <w:ind w:left="0" w:right="0" w:firstLine="0"/>
        <w:jc w:val="center"/>
        <w:rPr>
          <w:rFonts w:hint="default" w:ascii="Calibri" w:hAnsi="Calibri" w:cs="Calibri"/>
          <w:sz w:val="21"/>
          <w:szCs w:val="21"/>
        </w:rPr>
      </w:pPr>
      <w:r>
        <w:rPr>
          <w:rFonts w:hint="eastAsia" w:ascii="仿宋" w:hAnsi="仿宋" w:eastAsia="仿宋" w:cs="仿宋"/>
          <w:b/>
          <w:color w:val="333333"/>
          <w:sz w:val="30"/>
          <w:szCs w:val="30"/>
        </w:rPr>
        <w:t>第五节 公共管理与公共服务用地基准地价修正体系</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一、公共服务用地（第一大类）宗地地价修正体系</w:t>
      </w:r>
    </w:p>
    <w:p>
      <w:pPr>
        <w:pStyle w:val="4"/>
        <w:keepNext w:val="0"/>
        <w:keepLines w:val="0"/>
        <w:widowControl/>
        <w:suppressLineNumbers w:val="0"/>
        <w:spacing w:before="156" w:beforeAutospacing="0" w:after="156" w:afterAutospacing="0" w:line="4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（一）公共服务用地（第一大类）宗地地价影响因素修正</w:t>
      </w:r>
    </w:p>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color w:val="333333"/>
          <w:sz w:val="24"/>
          <w:szCs w:val="24"/>
        </w:rPr>
        <w:t>1、Ⅰ级公共服务用地（第一大类）宗地地价影响因素修正系数表</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表3-5-1 南昌市城区一级公共服务用地（第一大类）宗地地价修正系数表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4928" w:type="pct"/>
        <w:tblInd w:w="0" w:type="dxa"/>
        <w:shd w:val="clear"/>
        <w:tblLayout w:type="autofit"/>
        <w:tblCellMar>
          <w:top w:w="0" w:type="dxa"/>
          <w:left w:w="0" w:type="dxa"/>
          <w:bottom w:w="0" w:type="dxa"/>
          <w:right w:w="0" w:type="dxa"/>
        </w:tblCellMar>
      </w:tblPr>
      <w:tblGrid>
        <w:gridCol w:w="518"/>
        <w:gridCol w:w="3290"/>
        <w:gridCol w:w="892"/>
        <w:gridCol w:w="894"/>
        <w:gridCol w:w="899"/>
        <w:gridCol w:w="1059"/>
        <w:gridCol w:w="847"/>
      </w:tblGrid>
      <w:tr>
        <w:tblPrEx>
          <w:shd w:val="clear"/>
          <w:tblCellMar>
            <w:top w:w="0" w:type="dxa"/>
            <w:left w:w="0" w:type="dxa"/>
            <w:bottom w:w="0" w:type="dxa"/>
            <w:right w:w="0" w:type="dxa"/>
          </w:tblCellMar>
        </w:tblPrEx>
        <w:trPr>
          <w:trHeight w:val="270" w:hRule="atLeast"/>
        </w:trPr>
        <w:tc>
          <w:tcPr>
            <w:tcW w:w="2266"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优</w:t>
            </w:r>
          </w:p>
        </w:tc>
        <w:tc>
          <w:tcPr>
            <w:tcW w:w="53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较优</w:t>
            </w:r>
          </w:p>
        </w:tc>
        <w:tc>
          <w:tcPr>
            <w:tcW w:w="53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一般</w:t>
            </w:r>
          </w:p>
        </w:tc>
        <w:tc>
          <w:tcPr>
            <w:tcW w:w="63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较劣</w:t>
            </w:r>
          </w:p>
        </w:tc>
        <w:tc>
          <w:tcPr>
            <w:tcW w:w="504"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劣</w:t>
            </w:r>
          </w:p>
        </w:tc>
      </w:tr>
      <w:tr>
        <w:tblPrEx>
          <w:tblCellMar>
            <w:top w:w="0" w:type="dxa"/>
            <w:left w:w="0" w:type="dxa"/>
            <w:bottom w:w="0" w:type="dxa"/>
            <w:right w:w="0" w:type="dxa"/>
          </w:tblCellMar>
        </w:tblPrEx>
        <w:trPr>
          <w:trHeight w:val="300" w:hRule="atLeast"/>
        </w:trPr>
        <w:tc>
          <w:tcPr>
            <w:tcW w:w="30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区域因素</w:t>
            </w: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2.16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1.08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-1.06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-2.13 </w:t>
            </w:r>
          </w:p>
        </w:tc>
      </w:tr>
      <w:tr>
        <w:tblPrEx>
          <w:tblCellMar>
            <w:top w:w="0" w:type="dxa"/>
            <w:left w:w="0" w:type="dxa"/>
            <w:bottom w:w="0" w:type="dxa"/>
            <w:right w:w="0" w:type="dxa"/>
          </w:tblCellMar>
        </w:tblPrEx>
        <w:trPr>
          <w:trHeight w:val="54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2.17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1.08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-1.07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-2.14 </w:t>
            </w:r>
          </w:p>
        </w:tc>
      </w:tr>
      <w:tr>
        <w:tblPrEx>
          <w:tblCellMar>
            <w:top w:w="0" w:type="dxa"/>
            <w:left w:w="0" w:type="dxa"/>
            <w:bottom w:w="0" w:type="dxa"/>
            <w:right w:w="0" w:type="dxa"/>
          </w:tblCellMar>
        </w:tblPrEx>
        <w:trPr>
          <w:trHeight w:val="315"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1.88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-1.85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道路通达度（定级分值）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1.88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0.94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-0.93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-1.85 </w:t>
            </w:r>
          </w:p>
        </w:tc>
      </w:tr>
      <w:tr>
        <w:tblPrEx>
          <w:tblCellMar>
            <w:top w:w="0" w:type="dxa"/>
            <w:left w:w="0" w:type="dxa"/>
            <w:bottom w:w="0" w:type="dxa"/>
            <w:right w:w="0" w:type="dxa"/>
          </w:tblCellMar>
        </w:tblPrEx>
        <w:trPr>
          <w:trHeight w:val="345"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0.99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0.50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-0.49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-0.98 </w:t>
            </w:r>
          </w:p>
        </w:tc>
      </w:tr>
      <w:tr>
        <w:tblPrEx>
          <w:tblCellMar>
            <w:top w:w="0" w:type="dxa"/>
            <w:left w:w="0" w:type="dxa"/>
            <w:bottom w:w="0" w:type="dxa"/>
            <w:right w:w="0" w:type="dxa"/>
          </w:tblCellMar>
        </w:tblPrEx>
        <w:trPr>
          <w:trHeight w:val="315"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-1.04 </w:t>
            </w:r>
          </w:p>
        </w:tc>
      </w:tr>
      <w:tr>
        <w:tblPrEx>
          <w:tblCellMar>
            <w:top w:w="0" w:type="dxa"/>
            <w:left w:w="0" w:type="dxa"/>
            <w:bottom w:w="0" w:type="dxa"/>
            <w:right w:w="0" w:type="dxa"/>
          </w:tblCellMar>
        </w:tblPrEx>
        <w:trPr>
          <w:trHeight w:val="30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0.34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-0.33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-0.67 </w:t>
            </w:r>
          </w:p>
        </w:tc>
      </w:tr>
      <w:tr>
        <w:tblPrEx>
          <w:tblCellMar>
            <w:top w:w="0" w:type="dxa"/>
            <w:left w:w="0" w:type="dxa"/>
            <w:bottom w:w="0" w:type="dxa"/>
            <w:right w:w="0" w:type="dxa"/>
          </w:tblCellMar>
        </w:tblPrEx>
        <w:trPr>
          <w:trHeight w:val="39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-0.45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区域供水设施状况</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0.78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0.39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-0.38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-0.77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区域排水设施状况</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-0.37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-0.74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区域供电设施状况</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0.81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-0.80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区域供气设施状况</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0.63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0.32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-0.62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1.67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-1.64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常住人口密度</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0.53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-0.52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-1.04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流动人口密度</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0.83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-0.82 </w:t>
            </w:r>
          </w:p>
        </w:tc>
      </w:tr>
      <w:tr>
        <w:tblPrEx>
          <w:tblCellMar>
            <w:top w:w="0" w:type="dxa"/>
            <w:left w:w="0" w:type="dxa"/>
            <w:bottom w:w="0" w:type="dxa"/>
            <w:right w:w="0" w:type="dxa"/>
          </w:tblCellMar>
        </w:tblPrEx>
        <w:trPr>
          <w:trHeight w:val="375"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0.61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0.31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-0.30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-0.60 </w:t>
            </w:r>
          </w:p>
        </w:tc>
      </w:tr>
      <w:tr>
        <w:tblPrEx>
          <w:tblCellMar>
            <w:top w:w="0" w:type="dxa"/>
            <w:left w:w="0" w:type="dxa"/>
            <w:bottom w:w="0" w:type="dxa"/>
            <w:right w:w="0" w:type="dxa"/>
          </w:tblCellMar>
        </w:tblPrEx>
        <w:trPr>
          <w:trHeight w:val="30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0.47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0.24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-0.23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-0.46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规划功能区</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0.28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-0.27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-0.54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空气质量</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0.41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-0.40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植被覆盖度</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-0.22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人文景观</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-0.10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-0.20 </w:t>
            </w:r>
          </w:p>
        </w:tc>
      </w:tr>
      <w:tr>
        <w:tblPrEx>
          <w:tblCellMar>
            <w:top w:w="0" w:type="dxa"/>
            <w:left w:w="0" w:type="dxa"/>
            <w:bottom w:w="0" w:type="dxa"/>
            <w:right w:w="0" w:type="dxa"/>
          </w:tblCellMar>
        </w:tblPrEx>
        <w:trPr>
          <w:trHeight w:val="51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治安状况</w:t>
            </w:r>
            <w:r>
              <w:rPr>
                <w:rFonts w:hint="eastAsia" w:ascii="仿宋" w:hAnsi="仿宋" w:eastAsia="仿宋" w:cs="仿宋"/>
                <w:color w:val="333333"/>
                <w:sz w:val="21"/>
                <w:szCs w:val="21"/>
              </w:rPr>
              <w:br w:type="textWrapping"/>
            </w:r>
            <w:r>
              <w:rPr>
                <w:rFonts w:hint="eastAsia" w:ascii="仿宋" w:hAnsi="仿宋" w:eastAsia="仿宋" w:cs="仿宋"/>
                <w:color w:val="333333"/>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-0.11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-0.21 </w:t>
            </w:r>
          </w:p>
        </w:tc>
      </w:tr>
      <w:tr>
        <w:tblPrEx>
          <w:tblCellMar>
            <w:top w:w="0" w:type="dxa"/>
            <w:left w:w="0" w:type="dxa"/>
            <w:bottom w:w="0" w:type="dxa"/>
            <w:right w:w="0" w:type="dxa"/>
          </w:tblCellMar>
        </w:tblPrEx>
        <w:trPr>
          <w:trHeight w:val="315" w:hRule="atLeast"/>
        </w:trPr>
        <w:tc>
          <w:tcPr>
            <w:tcW w:w="30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个别因素</w:t>
            </w: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0.98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-0.96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-1.93 </w:t>
            </w:r>
          </w:p>
        </w:tc>
      </w:tr>
      <w:tr>
        <w:tblPrEx>
          <w:tblCellMar>
            <w:top w:w="0" w:type="dxa"/>
            <w:left w:w="0" w:type="dxa"/>
            <w:bottom w:w="0" w:type="dxa"/>
            <w:right w:w="0" w:type="dxa"/>
          </w:tblCellMar>
        </w:tblPrEx>
        <w:trPr>
          <w:trHeight w:val="330" w:hRule="atLeast"/>
        </w:trPr>
        <w:tc>
          <w:tcPr>
            <w:tcW w:w="30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957"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1.95 </w:t>
            </w:r>
          </w:p>
        </w:tc>
        <w:tc>
          <w:tcPr>
            <w:tcW w:w="5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0.98 </w:t>
            </w:r>
          </w:p>
        </w:tc>
        <w:tc>
          <w:tcPr>
            <w:tcW w:w="53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w:t>
            </w:r>
          </w:p>
        </w:tc>
        <w:tc>
          <w:tcPr>
            <w:tcW w:w="6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-0.96 </w:t>
            </w:r>
          </w:p>
        </w:tc>
        <w:tc>
          <w:tcPr>
            <w:tcW w:w="50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xml:space="preserve">-1.93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表3-5-2 南昌市城区一级公共服务用地（第一大类）宗地地价说明表</w:t>
      </w:r>
    </w:p>
    <w:tbl>
      <w:tblPr>
        <w:tblW w:w="5144" w:type="pct"/>
        <w:tblInd w:w="0" w:type="dxa"/>
        <w:shd w:val="clear"/>
        <w:tblLayout w:type="autofit"/>
        <w:tblCellMar>
          <w:top w:w="0" w:type="dxa"/>
          <w:left w:w="0" w:type="dxa"/>
          <w:bottom w:w="0" w:type="dxa"/>
          <w:right w:w="0" w:type="dxa"/>
        </w:tblCellMar>
      </w:tblPr>
      <w:tblGrid>
        <w:gridCol w:w="687"/>
        <w:gridCol w:w="1531"/>
        <w:gridCol w:w="1461"/>
        <w:gridCol w:w="1276"/>
        <w:gridCol w:w="1276"/>
        <w:gridCol w:w="1278"/>
        <w:gridCol w:w="1258"/>
      </w:tblGrid>
      <w:tr>
        <w:tblPrEx>
          <w:shd w:val="clear"/>
          <w:tblCellMar>
            <w:top w:w="0" w:type="dxa"/>
            <w:left w:w="0" w:type="dxa"/>
            <w:bottom w:w="0" w:type="dxa"/>
            <w:right w:w="0" w:type="dxa"/>
          </w:tblCellMar>
        </w:tblPrEx>
        <w:trPr>
          <w:trHeight w:val="345" w:hRule="atLeast"/>
        </w:trPr>
        <w:tc>
          <w:tcPr>
            <w:tcW w:w="1265"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修正因素</w:t>
            </w:r>
          </w:p>
        </w:tc>
        <w:tc>
          <w:tcPr>
            <w:tcW w:w="83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优</w:t>
            </w:r>
          </w:p>
        </w:tc>
        <w:tc>
          <w:tcPr>
            <w:tcW w:w="72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较优</w:t>
            </w:r>
          </w:p>
        </w:tc>
        <w:tc>
          <w:tcPr>
            <w:tcW w:w="72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一般</w:t>
            </w:r>
          </w:p>
        </w:tc>
        <w:tc>
          <w:tcPr>
            <w:tcW w:w="72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较劣</w:t>
            </w:r>
          </w:p>
        </w:tc>
        <w:tc>
          <w:tcPr>
            <w:tcW w:w="71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333333"/>
                <w:sz w:val="18"/>
                <w:szCs w:val="18"/>
              </w:rPr>
              <w:t>劣</w:t>
            </w:r>
          </w:p>
        </w:tc>
      </w:tr>
      <w:tr>
        <w:tblPrEx>
          <w:tblCellMar>
            <w:top w:w="0" w:type="dxa"/>
            <w:left w:w="0" w:type="dxa"/>
            <w:bottom w:w="0" w:type="dxa"/>
            <w:right w:w="0" w:type="dxa"/>
          </w:tblCellMar>
        </w:tblPrEx>
        <w:trPr>
          <w:trHeight w:val="330" w:hRule="atLeast"/>
        </w:trPr>
        <w:tc>
          <w:tcPr>
            <w:tcW w:w="39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区域因素</w:t>
            </w: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距科教、新闻出版中心距离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&gt;500米</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距机关团体、教育、文化、卫生中心距离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&gt;500米</w:t>
            </w:r>
          </w:p>
        </w:tc>
      </w:tr>
      <w:tr>
        <w:tblPrEx>
          <w:tblCellMar>
            <w:top w:w="0" w:type="dxa"/>
            <w:left w:w="0" w:type="dxa"/>
            <w:bottom w:w="0" w:type="dxa"/>
            <w:right w:w="0" w:type="dxa"/>
          </w:tblCellMar>
        </w:tblPrEx>
        <w:trPr>
          <w:trHeight w:val="37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距福利、休闲、体育中心距离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&gt;500米</w:t>
            </w:r>
          </w:p>
        </w:tc>
      </w:tr>
      <w:tr>
        <w:tblPrEx>
          <w:tblCellMar>
            <w:top w:w="0" w:type="dxa"/>
            <w:left w:w="0" w:type="dxa"/>
            <w:bottom w:w="0" w:type="dxa"/>
            <w:right w:w="0" w:type="dxa"/>
          </w:tblCellMar>
        </w:tblPrEx>
        <w:trPr>
          <w:trHeight w:val="58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道路通达度</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330"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距公交站距离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301～500米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501～800米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&gt;800米</w:t>
            </w:r>
          </w:p>
        </w:tc>
      </w:tr>
      <w:tr>
        <w:tblPrEx>
          <w:tblCellMar>
            <w:top w:w="0" w:type="dxa"/>
            <w:left w:w="0" w:type="dxa"/>
            <w:bottom w:w="0" w:type="dxa"/>
            <w:right w:w="0" w:type="dxa"/>
          </w:tblCellMar>
        </w:tblPrEx>
        <w:trPr>
          <w:trHeight w:val="300"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距地铁站距离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801～1400米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2001～2600米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&gt;2601米</w:t>
            </w:r>
          </w:p>
        </w:tc>
      </w:tr>
      <w:tr>
        <w:tblPrEx>
          <w:tblCellMar>
            <w:top w:w="0" w:type="dxa"/>
            <w:left w:w="0" w:type="dxa"/>
            <w:bottom w:w="0" w:type="dxa"/>
            <w:right w:w="0" w:type="dxa"/>
          </w:tblCellMar>
        </w:tblPrEx>
        <w:trPr>
          <w:trHeight w:val="31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距火车站、汽车、机场距离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&gt;4000米</w:t>
            </w:r>
          </w:p>
        </w:tc>
      </w:tr>
      <w:tr>
        <w:tblPrEx>
          <w:tblCellMar>
            <w:top w:w="0" w:type="dxa"/>
            <w:left w:w="0" w:type="dxa"/>
            <w:bottom w:w="0" w:type="dxa"/>
            <w:right w:w="0" w:type="dxa"/>
          </w:tblCellMar>
        </w:tblPrEx>
        <w:trPr>
          <w:trHeight w:val="330"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距高速路口距离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&gt;4000米</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区域供水设施状况</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区域排水设施状况</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区域供电设施状况</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区域供气设施状况</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390"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距离商务繁华中心距离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0～700米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701～1250米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1251～1800米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1801～2350米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&gt;2351米</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常住人口密度</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流动人口密度</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37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距规划地铁站距离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0～800米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801～1400米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1401～2000米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2001～2600米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&gt;2601米</w:t>
            </w:r>
          </w:p>
        </w:tc>
      </w:tr>
      <w:tr>
        <w:tblPrEx>
          <w:tblCellMar>
            <w:top w:w="0" w:type="dxa"/>
            <w:left w:w="0" w:type="dxa"/>
            <w:bottom w:w="0" w:type="dxa"/>
            <w:right w:w="0" w:type="dxa"/>
          </w:tblCellMar>
        </w:tblPrEx>
        <w:trPr>
          <w:trHeight w:val="330"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规划火车站距离</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0～1000米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&gt;4000米</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规划功能区</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空气质量</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植被覆盖度</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人文景观</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525"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治安状况</w:t>
            </w:r>
            <w:r>
              <w:rPr>
                <w:rFonts w:hint="eastAsia" w:ascii="仿宋" w:hAnsi="仿宋" w:eastAsia="仿宋" w:cs="仿宋"/>
                <w:color w:val="333333"/>
                <w:sz w:val="18"/>
                <w:szCs w:val="18"/>
              </w:rPr>
              <w:br w:type="textWrapping"/>
            </w:r>
            <w:r>
              <w:rPr>
                <w:rFonts w:hint="eastAsia" w:ascii="仿宋" w:hAnsi="仿宋" w:eastAsia="仿宋" w:cs="仿宋"/>
                <w:color w:val="333333"/>
                <w:sz w:val="18"/>
                <w:szCs w:val="18"/>
              </w:rPr>
              <w:t>（定级分值）</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0—20</w:t>
            </w:r>
          </w:p>
        </w:tc>
      </w:tr>
      <w:tr>
        <w:tblPrEx>
          <w:tblCellMar>
            <w:top w:w="0" w:type="dxa"/>
            <w:left w:w="0" w:type="dxa"/>
            <w:bottom w:w="0" w:type="dxa"/>
            <w:right w:w="0" w:type="dxa"/>
          </w:tblCellMar>
        </w:tblPrEx>
        <w:trPr>
          <w:trHeight w:val="1080" w:hRule="atLeast"/>
        </w:trPr>
        <w:tc>
          <w:tcPr>
            <w:tcW w:w="39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个别因素</w:t>
            </w: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宗地面积</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面积适中，对土地利用极为有利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面积适中，对土地利用极为有利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面积较小或较大，对土地利用有一定影响</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面积过小或过大，对土地利用产生严重的影响</w:t>
            </w:r>
          </w:p>
        </w:tc>
      </w:tr>
      <w:tr>
        <w:tblPrEx>
          <w:tblCellMar>
            <w:top w:w="0" w:type="dxa"/>
            <w:left w:w="0" w:type="dxa"/>
            <w:bottom w:w="0" w:type="dxa"/>
            <w:right w:w="0" w:type="dxa"/>
          </w:tblCellMar>
        </w:tblPrEx>
        <w:trPr>
          <w:trHeight w:val="48" w:hRule="atLeast"/>
        </w:trPr>
        <w:tc>
          <w:tcPr>
            <w:tcW w:w="39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87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宗地形状</w:t>
            </w:r>
          </w:p>
        </w:tc>
        <w:tc>
          <w:tcPr>
            <w:tcW w:w="83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形状规则，对土地利用极为有利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形状较规则，对土地利用较为有利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形状不规则，对土地利用有一定影响</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18"/>
                <w:szCs w:val="18"/>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表3-5-3 南昌市城区二级公共服务用地（第一大类）宗地地价修正系数表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9060" w:type="dxa"/>
        <w:tblInd w:w="114" w:type="dxa"/>
        <w:shd w:val="clear"/>
        <w:tblLayout w:type="autofit"/>
        <w:tblCellMar>
          <w:top w:w="0" w:type="dxa"/>
          <w:left w:w="0" w:type="dxa"/>
          <w:bottom w:w="0" w:type="dxa"/>
          <w:right w:w="0" w:type="dxa"/>
        </w:tblCellMar>
      </w:tblPr>
      <w:tblGrid>
        <w:gridCol w:w="704"/>
        <w:gridCol w:w="3156"/>
        <w:gridCol w:w="1040"/>
        <w:gridCol w:w="1040"/>
        <w:gridCol w:w="1040"/>
        <w:gridCol w:w="1040"/>
        <w:gridCol w:w="1040"/>
      </w:tblGrid>
      <w:tr>
        <w:tblPrEx>
          <w:shd w:val="clear"/>
          <w:tblCellMar>
            <w:top w:w="0" w:type="dxa"/>
            <w:left w:w="0" w:type="dxa"/>
            <w:bottom w:w="0" w:type="dxa"/>
            <w:right w:w="0" w:type="dxa"/>
          </w:tblCellMar>
        </w:tblPrEx>
        <w:trPr>
          <w:trHeight w:val="270" w:hRule="atLeast"/>
        </w:trPr>
        <w:tc>
          <w:tcPr>
            <w:tcW w:w="386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5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-2.07 </w:t>
            </w:r>
          </w:p>
        </w:tc>
      </w:tr>
      <w:tr>
        <w:tblPrEx>
          <w:tblCellMar>
            <w:top w:w="0" w:type="dxa"/>
            <w:left w:w="0" w:type="dxa"/>
            <w:bottom w:w="0" w:type="dxa"/>
            <w:right w:w="0" w:type="dxa"/>
          </w:tblCellMar>
        </w:tblPrEx>
        <w:trPr>
          <w:trHeight w:val="47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-1.80 </w:t>
            </w:r>
          </w:p>
        </w:tc>
      </w:tr>
      <w:tr>
        <w:tblPrEx>
          <w:tblCellMar>
            <w:top w:w="0" w:type="dxa"/>
            <w:left w:w="0" w:type="dxa"/>
            <w:bottom w:w="0" w:type="dxa"/>
            <w:right w:w="0" w:type="dxa"/>
          </w:tblCellMar>
        </w:tblPrEx>
        <w:trPr>
          <w:trHeight w:val="33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-1.87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-1.87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表3-5-4 南昌市城区二级公共服务用地（第一大类）宗地地价说明表</w:t>
      </w:r>
    </w:p>
    <w:tbl>
      <w:tblPr>
        <w:tblW w:w="5000" w:type="pct"/>
        <w:tblInd w:w="0" w:type="dxa"/>
        <w:shd w:val="clear"/>
        <w:tblLayout w:type="autofit"/>
        <w:tblCellMar>
          <w:top w:w="0" w:type="dxa"/>
          <w:left w:w="0" w:type="dxa"/>
          <w:bottom w:w="0" w:type="dxa"/>
          <w:right w:w="0" w:type="dxa"/>
        </w:tblCellMar>
      </w:tblPr>
      <w:tblGrid>
        <w:gridCol w:w="451"/>
        <w:gridCol w:w="1817"/>
        <w:gridCol w:w="1023"/>
        <w:gridCol w:w="1277"/>
        <w:gridCol w:w="1278"/>
        <w:gridCol w:w="1428"/>
        <w:gridCol w:w="1248"/>
      </w:tblGrid>
      <w:tr>
        <w:tblPrEx>
          <w:shd w:val="clear"/>
          <w:tblCellMar>
            <w:top w:w="0" w:type="dxa"/>
            <w:left w:w="0" w:type="dxa"/>
            <w:bottom w:w="0" w:type="dxa"/>
            <w:right w:w="0" w:type="dxa"/>
          </w:tblCellMar>
        </w:tblPrEx>
        <w:trPr>
          <w:trHeight w:val="285" w:hRule="atLeast"/>
        </w:trPr>
        <w:tc>
          <w:tcPr>
            <w:tcW w:w="1331"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83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73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26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501～700米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201～400米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401～600米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601～800米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433"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2201～2800米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2801～3400米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&gt;3400米</w:t>
            </w:r>
          </w:p>
        </w:tc>
      </w:tr>
      <w:tr>
        <w:tblPrEx>
          <w:tblCellMar>
            <w:top w:w="0" w:type="dxa"/>
            <w:left w:w="0" w:type="dxa"/>
            <w:bottom w:w="0" w:type="dxa"/>
            <w:right w:w="0" w:type="dxa"/>
          </w:tblCellMar>
        </w:tblPrEx>
        <w:trPr>
          <w:trHeight w:val="263"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265"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265"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6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8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73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表3-5-5 南昌市城区三级公共服务用地（第一大类）宗地地价修正系数表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9060" w:type="dxa"/>
        <w:tblInd w:w="114" w:type="dxa"/>
        <w:shd w:val="clear"/>
        <w:tblLayout w:type="autofit"/>
        <w:tblCellMar>
          <w:top w:w="0" w:type="dxa"/>
          <w:left w:w="0" w:type="dxa"/>
          <w:bottom w:w="0" w:type="dxa"/>
          <w:right w:w="0" w:type="dxa"/>
        </w:tblCellMar>
      </w:tblPr>
      <w:tblGrid>
        <w:gridCol w:w="704"/>
        <w:gridCol w:w="3156"/>
        <w:gridCol w:w="1040"/>
        <w:gridCol w:w="1040"/>
        <w:gridCol w:w="1040"/>
        <w:gridCol w:w="1040"/>
        <w:gridCol w:w="1040"/>
      </w:tblGrid>
      <w:tr>
        <w:tblPrEx>
          <w:shd w:val="clear"/>
          <w:tblCellMar>
            <w:top w:w="0" w:type="dxa"/>
            <w:left w:w="0" w:type="dxa"/>
            <w:bottom w:w="0" w:type="dxa"/>
            <w:right w:w="0" w:type="dxa"/>
          </w:tblCellMar>
        </w:tblPrEx>
        <w:trPr>
          <w:trHeight w:val="270" w:hRule="atLeast"/>
        </w:trPr>
        <w:tc>
          <w:tcPr>
            <w:tcW w:w="386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32"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r>
      <w:tr>
        <w:tblPrEx>
          <w:tblCellMar>
            <w:top w:w="0" w:type="dxa"/>
            <w:left w:w="0" w:type="dxa"/>
            <w:bottom w:w="0" w:type="dxa"/>
            <w:right w:w="0" w:type="dxa"/>
          </w:tblCellMar>
        </w:tblPrEx>
        <w:trPr>
          <w:trHeight w:val="407"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r>
      <w:tr>
        <w:tblPrEx>
          <w:tblCellMar>
            <w:top w:w="0" w:type="dxa"/>
            <w:left w:w="0" w:type="dxa"/>
            <w:bottom w:w="0" w:type="dxa"/>
            <w:right w:w="0" w:type="dxa"/>
          </w:tblCellMar>
        </w:tblPrEx>
        <w:trPr>
          <w:trHeight w:val="431"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表3-5-6 南昌市城区三级公共服务用地（第一大类）宗地地价说明表</w:t>
      </w:r>
    </w:p>
    <w:tbl>
      <w:tblPr>
        <w:tblW w:w="5000" w:type="pct"/>
        <w:tblInd w:w="0" w:type="dxa"/>
        <w:shd w:val="clear"/>
        <w:tblLayout w:type="autofit"/>
        <w:tblCellMar>
          <w:top w:w="0" w:type="dxa"/>
          <w:left w:w="0" w:type="dxa"/>
          <w:bottom w:w="0" w:type="dxa"/>
          <w:right w:w="0" w:type="dxa"/>
        </w:tblCellMar>
      </w:tblPr>
      <w:tblGrid>
        <w:gridCol w:w="682"/>
        <w:gridCol w:w="1843"/>
        <w:gridCol w:w="1021"/>
        <w:gridCol w:w="1277"/>
        <w:gridCol w:w="1405"/>
        <w:gridCol w:w="1280"/>
        <w:gridCol w:w="1014"/>
      </w:tblGrid>
      <w:tr>
        <w:tblPrEx>
          <w:shd w:val="clear"/>
          <w:tblCellMar>
            <w:top w:w="0" w:type="dxa"/>
            <w:left w:w="0" w:type="dxa"/>
            <w:bottom w:w="0" w:type="dxa"/>
            <w:right w:w="0" w:type="dxa"/>
          </w:tblCellMar>
        </w:tblPrEx>
        <w:trPr>
          <w:trHeight w:val="285" w:hRule="atLeast"/>
        </w:trPr>
        <w:tc>
          <w:tcPr>
            <w:tcW w:w="1481"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24"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1101～1500米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2501～3150米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3151～3800米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3801～4450米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&gt;4450米</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2501～3500米</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&gt;5500米</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8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2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表3-5-7 南昌市城区四级公共服务用地（第一大类）宗地地价修正系数表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9060" w:type="dxa"/>
        <w:tblInd w:w="114" w:type="dxa"/>
        <w:shd w:val="clear"/>
        <w:tblLayout w:type="autofit"/>
        <w:tblCellMar>
          <w:top w:w="0" w:type="dxa"/>
          <w:left w:w="0" w:type="dxa"/>
          <w:bottom w:w="0" w:type="dxa"/>
          <w:right w:w="0" w:type="dxa"/>
        </w:tblCellMar>
      </w:tblPr>
      <w:tblGrid>
        <w:gridCol w:w="704"/>
        <w:gridCol w:w="3156"/>
        <w:gridCol w:w="1040"/>
        <w:gridCol w:w="1040"/>
        <w:gridCol w:w="1040"/>
        <w:gridCol w:w="1040"/>
        <w:gridCol w:w="1040"/>
      </w:tblGrid>
      <w:tr>
        <w:tblPrEx>
          <w:shd w:val="clear"/>
          <w:tblCellMar>
            <w:top w:w="0" w:type="dxa"/>
            <w:left w:w="0" w:type="dxa"/>
            <w:bottom w:w="0" w:type="dxa"/>
            <w:right w:w="0" w:type="dxa"/>
          </w:tblCellMar>
        </w:tblPrEx>
        <w:trPr>
          <w:trHeight w:val="270" w:hRule="atLeast"/>
        </w:trPr>
        <w:tc>
          <w:tcPr>
            <w:tcW w:w="386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88"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r>
      <w:tr>
        <w:tblPrEx>
          <w:tblCellMar>
            <w:top w:w="0" w:type="dxa"/>
            <w:left w:w="0" w:type="dxa"/>
            <w:bottom w:w="0" w:type="dxa"/>
            <w:right w:w="0" w:type="dxa"/>
          </w:tblCellMar>
        </w:tblPrEx>
        <w:trPr>
          <w:trHeight w:val="364"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r>
      <w:tr>
        <w:tblPrEx>
          <w:tblCellMar>
            <w:top w:w="0" w:type="dxa"/>
            <w:left w:w="0" w:type="dxa"/>
            <w:bottom w:w="0" w:type="dxa"/>
            <w:right w:w="0" w:type="dxa"/>
          </w:tblCellMar>
        </w:tblPrEx>
        <w:trPr>
          <w:trHeight w:val="338"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r>
      <w:tr>
        <w:tblPrEx>
          <w:tblCellMar>
            <w:top w:w="0" w:type="dxa"/>
            <w:left w:w="0" w:type="dxa"/>
            <w:bottom w:w="0" w:type="dxa"/>
            <w:right w:w="0" w:type="dxa"/>
          </w:tblCellMar>
        </w:tblPrEx>
        <w:trPr>
          <w:trHeight w:val="352"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406"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-1.68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-1.68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b/>
          <w:color w:val="333333"/>
          <w:sz w:val="21"/>
          <w:szCs w:val="21"/>
        </w:rPr>
        <w:t>表3-5-8 南昌市城区四级公共服务用地（第一大类）宗地地价说明表</w:t>
      </w:r>
    </w:p>
    <w:tbl>
      <w:tblPr>
        <w:tblW w:w="5000" w:type="pct"/>
        <w:tblInd w:w="0" w:type="dxa"/>
        <w:shd w:val="clear"/>
        <w:tblLayout w:type="autofit"/>
        <w:tblCellMar>
          <w:top w:w="0" w:type="dxa"/>
          <w:left w:w="0" w:type="dxa"/>
          <w:bottom w:w="0" w:type="dxa"/>
          <w:right w:w="0" w:type="dxa"/>
        </w:tblCellMar>
      </w:tblPr>
      <w:tblGrid>
        <w:gridCol w:w="454"/>
        <w:gridCol w:w="1928"/>
        <w:gridCol w:w="1013"/>
        <w:gridCol w:w="1396"/>
        <w:gridCol w:w="1294"/>
        <w:gridCol w:w="1294"/>
        <w:gridCol w:w="1143"/>
      </w:tblGrid>
      <w:tr>
        <w:tblPrEx>
          <w:shd w:val="clear"/>
          <w:tblCellMar>
            <w:top w:w="0" w:type="dxa"/>
            <w:left w:w="0" w:type="dxa"/>
            <w:bottom w:w="0" w:type="dxa"/>
            <w:right w:w="0" w:type="dxa"/>
          </w:tblCellMar>
        </w:tblPrEx>
        <w:trPr>
          <w:trHeight w:val="285" w:hRule="atLeast"/>
        </w:trPr>
        <w:tc>
          <w:tcPr>
            <w:tcW w:w="1397"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4"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81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67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26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601～1000米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1001～1500米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1501～2000米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&gt;2000米</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0～3400米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3401～4200米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4201～4900米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4901～5600米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26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26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3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8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b/>
          <w:color w:val="333333"/>
          <w:sz w:val="21"/>
          <w:szCs w:val="21"/>
        </w:rPr>
        <w:t>表3-5-9 南昌市城区五级公共服务用地（第一大类）宗地地价修正系数表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1"/>
          <w:szCs w:val="21"/>
        </w:rPr>
        <w:t>单位：%</w:t>
      </w:r>
    </w:p>
    <w:tbl>
      <w:tblPr>
        <w:tblW w:w="9060" w:type="dxa"/>
        <w:tblInd w:w="114" w:type="dxa"/>
        <w:shd w:val="clear"/>
        <w:tblLayout w:type="autofit"/>
        <w:tblCellMar>
          <w:top w:w="0" w:type="dxa"/>
          <w:left w:w="0" w:type="dxa"/>
          <w:bottom w:w="0" w:type="dxa"/>
          <w:right w:w="0" w:type="dxa"/>
        </w:tblCellMar>
      </w:tblPr>
      <w:tblGrid>
        <w:gridCol w:w="704"/>
        <w:gridCol w:w="3156"/>
        <w:gridCol w:w="1040"/>
        <w:gridCol w:w="1040"/>
        <w:gridCol w:w="1040"/>
        <w:gridCol w:w="1040"/>
        <w:gridCol w:w="1040"/>
      </w:tblGrid>
      <w:tr>
        <w:tblPrEx>
          <w:shd w:val="clear"/>
          <w:tblCellMar>
            <w:top w:w="0" w:type="dxa"/>
            <w:left w:w="0" w:type="dxa"/>
            <w:bottom w:w="0" w:type="dxa"/>
            <w:right w:w="0" w:type="dxa"/>
          </w:tblCellMar>
        </w:tblPrEx>
        <w:trPr>
          <w:trHeight w:val="270" w:hRule="atLeast"/>
        </w:trPr>
        <w:tc>
          <w:tcPr>
            <w:tcW w:w="386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07"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-1.76 </w:t>
            </w:r>
          </w:p>
        </w:tc>
      </w:tr>
      <w:tr>
        <w:tblPrEx>
          <w:tblCellMar>
            <w:top w:w="0" w:type="dxa"/>
            <w:left w:w="0" w:type="dxa"/>
            <w:bottom w:w="0" w:type="dxa"/>
            <w:right w:w="0" w:type="dxa"/>
          </w:tblCellMar>
        </w:tblPrEx>
        <w:trPr>
          <w:trHeight w:val="35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r>
      <w:tr>
        <w:tblPrEx>
          <w:tblCellMar>
            <w:top w:w="0" w:type="dxa"/>
            <w:left w:w="0" w:type="dxa"/>
            <w:bottom w:w="0" w:type="dxa"/>
            <w:right w:w="0" w:type="dxa"/>
          </w:tblCellMar>
        </w:tblPrEx>
        <w:trPr>
          <w:trHeight w:val="36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r>
      <w:tr>
        <w:tblPrEx>
          <w:tblCellMar>
            <w:top w:w="0" w:type="dxa"/>
            <w:left w:w="0" w:type="dxa"/>
            <w:bottom w:w="0" w:type="dxa"/>
            <w:right w:w="0" w:type="dxa"/>
          </w:tblCellMar>
        </w:tblPrEx>
        <w:trPr>
          <w:trHeight w:val="459"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15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-1.59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b/>
          <w:color w:val="333333"/>
          <w:sz w:val="21"/>
          <w:szCs w:val="21"/>
        </w:rPr>
        <w:t>表3-5-10 南昌市城区五级公共服务用地（第一大类）宗地地价说明表</w:t>
      </w:r>
    </w:p>
    <w:tbl>
      <w:tblPr>
        <w:tblW w:w="5000" w:type="pct"/>
        <w:tblInd w:w="0" w:type="dxa"/>
        <w:shd w:val="clear"/>
        <w:tblLayout w:type="autofit"/>
        <w:tblCellMar>
          <w:top w:w="0" w:type="dxa"/>
          <w:left w:w="0" w:type="dxa"/>
          <w:bottom w:w="0" w:type="dxa"/>
          <w:right w:w="0" w:type="dxa"/>
        </w:tblCellMar>
      </w:tblPr>
      <w:tblGrid>
        <w:gridCol w:w="686"/>
        <w:gridCol w:w="1710"/>
        <w:gridCol w:w="1023"/>
        <w:gridCol w:w="1277"/>
        <w:gridCol w:w="1278"/>
        <w:gridCol w:w="1277"/>
        <w:gridCol w:w="1271"/>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74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3"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801～1200米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1201～1600米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&gt;2200米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4301～5050米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5051～5800米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5801～6550米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&gt;6550米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3"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156" w:beforeAutospacing="0" w:after="156"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color w:val="333333"/>
          <w:sz w:val="24"/>
          <w:szCs w:val="24"/>
        </w:rPr>
        <w:t>（二）公共服务用地宗地地价其他因素修正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1、使用年限修正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我国实行有偿、有期限、有流动的土地使用制度，因此土地使用期限的长短直接影响地价的高低。公共服务用地土地使用权法定最高出让年限为50年，土地还原利率按不同年限实际求取，根据公式：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685925" cy="962025"/>
            <wp:effectExtent l="0" t="0" r="9525" b="8890"/>
            <wp:docPr id="28"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6" descr="IMG_301"/>
                    <pic:cNvPicPr>
                      <a:picLocks noChangeAspect="1"/>
                    </pic:cNvPicPr>
                  </pic:nvPicPr>
                  <pic:blipFill>
                    <a:blip r:embed="rId35"/>
                    <a:stretch>
                      <a:fillRect/>
                    </a:stretch>
                  </pic:blipFill>
                  <pic:spPr>
                    <a:xfrm>
                      <a:off x="0" y="0"/>
                      <a:ext cx="168592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323975" cy="962025"/>
            <wp:effectExtent l="0" t="0" r="9525" b="8890"/>
            <wp:docPr id="27"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7" descr="IMG_302"/>
                    <pic:cNvPicPr>
                      <a:picLocks noChangeAspect="1"/>
                    </pic:cNvPicPr>
                  </pic:nvPicPr>
                  <pic:blipFill>
                    <a:blip r:embed="rId36"/>
                    <a:stretch>
                      <a:fillRect/>
                    </a:stretch>
                  </pic:blipFill>
                  <pic:spPr>
                    <a:xfrm>
                      <a:off x="0" y="0"/>
                      <a:ext cx="132397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26"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8" descr="IMG_303"/>
                    <pic:cNvPicPr>
                      <a:picLocks noChangeAspect="1"/>
                    </pic:cNvPicPr>
                  </pic:nvPicPr>
                  <pic:blipFill>
                    <a:blip r:embed="rId6"/>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：—剩余土地使用权年限</w:t>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 xml:space="preserve">      </w:t>
      </w:r>
      <w:r>
        <w:rPr>
          <w:rFonts w:hint="eastAsia" w:ascii="仿宋" w:hAnsi="仿宋" w:eastAsia="仿宋" w:cs="仿宋"/>
          <w:color w:val="333333"/>
          <w:sz w:val="24"/>
          <w:szCs w:val="24"/>
          <w:bdr w:val="none" w:color="auto" w:sz="0" w:space="0"/>
        </w:rPr>
        <w:drawing>
          <wp:inline distT="0" distB="0" distL="114300" distR="114300">
            <wp:extent cx="66675" cy="133350"/>
            <wp:effectExtent l="0" t="0" r="9525" b="0"/>
            <wp:docPr id="25"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9" descr="IMG_304"/>
                    <pic:cNvPicPr>
                      <a:picLocks noChangeAspect="1"/>
                    </pic:cNvPicPr>
                  </pic:nvPicPr>
                  <pic:blipFill>
                    <a:blip r:embed="rId7"/>
                    <a:stretch>
                      <a:fillRect/>
                    </a:stretch>
                  </pic:blipFill>
                  <pic:spPr>
                    <a:xfrm>
                      <a:off x="0" y="0"/>
                      <a:ext cx="66675" cy="133350"/>
                    </a:xfrm>
                    <a:prstGeom prst="rect">
                      <a:avLst/>
                    </a:prstGeom>
                    <a:noFill/>
                    <a:ln w="9525">
                      <a:noFill/>
                    </a:ln>
                  </pic:spPr>
                </pic:pic>
              </a:graphicData>
            </a:graphic>
          </wp:inline>
        </w:drawing>
      </w:r>
      <w:r>
        <w:rPr>
          <w:rFonts w:hint="eastAsia" w:ascii="仿宋" w:hAnsi="仿宋" w:eastAsia="仿宋" w:cs="仿宋"/>
          <w:color w:val="333333"/>
          <w:sz w:val="24"/>
          <w:szCs w:val="24"/>
        </w:rPr>
        <w:t>：—公共服务用地土地还原利率</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 估价期日修正</w:t>
      </w:r>
    </w:p>
    <w:p>
      <w:pPr>
        <w:pStyle w:val="4"/>
        <w:keepNext w:val="0"/>
        <w:keepLines w:val="0"/>
        <w:widowControl/>
        <w:suppressLineNumbers w:val="0"/>
        <w:spacing w:before="0" w:beforeAutospacing="0" w:after="0" w:afterAutospacing="0" w:line="360" w:lineRule="auto"/>
        <w:ind w:left="576" w:right="0" w:firstLine="56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2724150" cy="466725"/>
            <wp:effectExtent l="0" t="0" r="0" b="8890"/>
            <wp:docPr id="23"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0" descr="IMG_305"/>
                    <pic:cNvPicPr>
                      <a:picLocks noChangeAspect="1"/>
                    </pic:cNvPicPr>
                  </pic:nvPicPr>
                  <pic:blipFill>
                    <a:blip r:embed="rId37"/>
                    <a:stretch>
                      <a:fillRect/>
                    </a:stretch>
                  </pic:blipFill>
                  <pic:spPr>
                    <a:xfrm>
                      <a:off x="0" y="0"/>
                      <a:ext cx="2724150" cy="466725"/>
                    </a:xfrm>
                    <a:prstGeom prst="rect">
                      <a:avLst/>
                    </a:prstGeom>
                    <a:noFill/>
                    <a:ln w="9525">
                      <a:noFill/>
                    </a:ln>
                  </pic:spPr>
                </pic:pic>
              </a:graphicData>
            </a:graphic>
          </wp:inline>
        </w:drawing>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3、 容积率修正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容积率修正公式：</w:t>
      </w:r>
    </w:p>
    <w:p>
      <w:pPr>
        <w:pStyle w:val="4"/>
        <w:keepNext w:val="0"/>
        <w:keepLines w:val="0"/>
        <w:widowControl/>
        <w:suppressLineNumbers w:val="0"/>
        <w:spacing w:before="120" w:beforeAutospacing="0" w:after="120" w:afterAutospacing="0" w:line="240" w:lineRule="auto"/>
        <w:ind w:left="840" w:right="0" w:firstLine="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742950" cy="238125"/>
            <wp:effectExtent l="0" t="0" r="0" b="7620"/>
            <wp:docPr id="22"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1" descr="IMG_306"/>
                    <pic:cNvPicPr>
                      <a:picLocks noChangeAspect="1"/>
                    </pic:cNvPicPr>
                  </pic:nvPicPr>
                  <pic:blipFill>
                    <a:blip r:embed="rId38"/>
                    <a:stretch>
                      <a:fillRect/>
                    </a:stretch>
                  </pic:blipFill>
                  <pic:spPr>
                    <a:xfrm>
                      <a:off x="0" y="0"/>
                      <a:ext cx="742950" cy="2381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95250" cy="133350"/>
            <wp:effectExtent l="0" t="0" r="0" b="0"/>
            <wp:docPr id="29"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2" descr="IMG_307"/>
                    <pic:cNvPicPr>
                      <a:picLocks noChangeAspect="1"/>
                    </pic:cNvPicPr>
                  </pic:nvPicPr>
                  <pic:blipFill>
                    <a:blip r:embed="rId39"/>
                    <a:stretch>
                      <a:fillRect/>
                    </a:stretch>
                  </pic:blipFill>
                  <pic:spPr>
                    <a:xfrm>
                      <a:off x="0" y="0"/>
                      <a:ext cx="95250" cy="133350"/>
                    </a:xfrm>
                    <a:prstGeom prst="rect">
                      <a:avLst/>
                    </a:prstGeom>
                    <a:noFill/>
                    <a:ln w="9525">
                      <a:noFill/>
                    </a:ln>
                  </pic:spPr>
                </pic:pic>
              </a:graphicData>
            </a:graphic>
          </wp:inline>
        </w:drawing>
      </w:r>
      <w:r>
        <w:rPr>
          <w:rFonts w:hint="eastAsia" w:ascii="仿宋" w:hAnsi="仿宋" w:eastAsia="仿宋" w:cs="仿宋"/>
          <w:color w:val="333333"/>
          <w:sz w:val="24"/>
          <w:szCs w:val="24"/>
        </w:rPr>
        <w:t>：待估宗地地价，</w:t>
      </w:r>
      <w:r>
        <w:rPr>
          <w:rFonts w:hint="eastAsia" w:ascii="仿宋" w:hAnsi="仿宋" w:eastAsia="仿宋" w:cs="仿宋"/>
          <w:color w:val="333333"/>
          <w:sz w:val="24"/>
          <w:szCs w:val="24"/>
          <w:bdr w:val="none" w:color="auto" w:sz="0" w:space="0"/>
        </w:rPr>
        <w:drawing>
          <wp:inline distT="0" distB="0" distL="114300" distR="114300">
            <wp:extent cx="180975" cy="238125"/>
            <wp:effectExtent l="0" t="0" r="9525" b="7620"/>
            <wp:docPr id="20"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3" descr="IMG_308"/>
                    <pic:cNvPicPr>
                      <a:picLocks noChangeAspect="1"/>
                    </pic:cNvPicPr>
                  </pic:nvPicPr>
                  <pic:blipFill>
                    <a:blip r:embed="rId40"/>
                    <a:stretch>
                      <a:fillRect/>
                    </a:stretch>
                  </pic:blipFill>
                  <pic:spPr>
                    <a:xfrm>
                      <a:off x="0" y="0"/>
                      <a:ext cx="180975" cy="238125"/>
                    </a:xfrm>
                    <a:prstGeom prst="rect">
                      <a:avLst/>
                    </a:prstGeom>
                    <a:noFill/>
                    <a:ln w="9525">
                      <a:noFill/>
                    </a:ln>
                  </pic:spPr>
                </pic:pic>
              </a:graphicData>
            </a:graphic>
          </wp:inline>
        </w:drawing>
      </w:r>
      <w:r>
        <w:rPr>
          <w:rFonts w:hint="eastAsia" w:ascii="仿宋" w:hAnsi="仿宋" w:eastAsia="仿宋" w:cs="仿宋"/>
          <w:color w:val="333333"/>
          <w:sz w:val="24"/>
          <w:szCs w:val="24"/>
        </w:rPr>
        <w:t>：某级别基准地价，</w:t>
      </w:r>
      <w:r>
        <w:rPr>
          <w:rFonts w:hint="eastAsia" w:ascii="仿宋" w:hAnsi="仿宋" w:eastAsia="仿宋" w:cs="仿宋"/>
          <w:color w:val="333333"/>
          <w:sz w:val="24"/>
          <w:szCs w:val="24"/>
          <w:bdr w:val="none" w:color="auto" w:sz="0" w:space="0"/>
        </w:rPr>
        <w:drawing>
          <wp:inline distT="0" distB="0" distL="114300" distR="114300">
            <wp:extent cx="180975" cy="238125"/>
            <wp:effectExtent l="0" t="0" r="9525" b="7620"/>
            <wp:docPr id="18"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4" descr="IMG_309"/>
                    <pic:cNvPicPr>
                      <a:picLocks noChangeAspect="1"/>
                    </pic:cNvPicPr>
                  </pic:nvPicPr>
                  <pic:blipFill>
                    <a:blip r:embed="rId41"/>
                    <a:stretch>
                      <a:fillRect/>
                    </a:stretch>
                  </pic:blipFill>
                  <pic:spPr>
                    <a:xfrm>
                      <a:off x="0" y="0"/>
                      <a:ext cx="180975" cy="238125"/>
                    </a:xfrm>
                    <a:prstGeom prst="rect">
                      <a:avLst/>
                    </a:prstGeom>
                    <a:noFill/>
                    <a:ln w="9525">
                      <a:noFill/>
                    </a:ln>
                  </pic:spPr>
                </pic:pic>
              </a:graphicData>
            </a:graphic>
          </wp:inline>
        </w:drawing>
      </w:r>
      <w:r>
        <w:rPr>
          <w:rFonts w:hint="eastAsia" w:ascii="仿宋" w:hAnsi="仿宋" w:eastAsia="仿宋" w:cs="仿宋"/>
          <w:color w:val="333333"/>
          <w:sz w:val="24"/>
          <w:szCs w:val="24"/>
        </w:rPr>
        <w:t>容积率修正系数。</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400" w:lineRule="atLeast"/>
        <w:ind w:left="0" w:right="0" w:firstLine="442"/>
        <w:jc w:val="center"/>
        <w:rPr>
          <w:rFonts w:hint="default" w:ascii="Calibri" w:hAnsi="Calibri" w:cs="Calibri"/>
          <w:sz w:val="21"/>
          <w:szCs w:val="21"/>
        </w:rPr>
      </w:pPr>
      <w:r>
        <w:rPr>
          <w:rFonts w:hint="eastAsia" w:ascii="仿宋" w:hAnsi="仿宋" w:eastAsia="仿宋" w:cs="仿宋"/>
          <w:b/>
          <w:color w:val="333333"/>
          <w:sz w:val="22"/>
          <w:szCs w:val="22"/>
        </w:rPr>
        <w:t>表3-5-11公共服务用地容积率修正系数表</w:t>
      </w:r>
    </w:p>
    <w:tbl>
      <w:tblPr>
        <w:tblW w:w="9465" w:type="dxa"/>
        <w:tblInd w:w="0" w:type="dxa"/>
        <w:shd w:val="clear"/>
        <w:tblLayout w:type="autofit"/>
        <w:tblCellMar>
          <w:top w:w="0" w:type="dxa"/>
          <w:left w:w="0" w:type="dxa"/>
          <w:bottom w:w="0" w:type="dxa"/>
          <w:right w:w="0" w:type="dxa"/>
        </w:tblCellMar>
      </w:tblPr>
      <w:tblGrid>
        <w:gridCol w:w="1348"/>
        <w:gridCol w:w="1014"/>
        <w:gridCol w:w="1015"/>
        <w:gridCol w:w="1015"/>
        <w:gridCol w:w="1015"/>
        <w:gridCol w:w="1015"/>
        <w:gridCol w:w="1015"/>
        <w:gridCol w:w="1015"/>
        <w:gridCol w:w="1013"/>
      </w:tblGrid>
      <w:tr>
        <w:tblPrEx>
          <w:shd w:val="clear"/>
          <w:tblCellMar>
            <w:top w:w="0" w:type="dxa"/>
            <w:left w:w="0" w:type="dxa"/>
            <w:bottom w:w="0" w:type="dxa"/>
            <w:right w:w="0" w:type="dxa"/>
          </w:tblCellMar>
        </w:tblPrEx>
        <w:tc>
          <w:tcPr>
            <w:tcW w:w="13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容积率</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1.8</w:t>
            </w:r>
          </w:p>
        </w:tc>
        <w:tc>
          <w:tcPr>
            <w:tcW w:w="10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w:t>
            </w:r>
          </w:p>
        </w:tc>
        <w:tc>
          <w:tcPr>
            <w:tcW w:w="101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2.2</w:t>
            </w:r>
          </w:p>
        </w:tc>
      </w:tr>
      <w:tr>
        <w:tblPrEx>
          <w:tblCellMar>
            <w:top w:w="0" w:type="dxa"/>
            <w:left w:w="0" w:type="dxa"/>
            <w:bottom w:w="0" w:type="dxa"/>
            <w:right w:w="0" w:type="dxa"/>
          </w:tblCellMar>
        </w:tblPrEx>
        <w:tc>
          <w:tcPr>
            <w:tcW w:w="134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修正系数</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0.8073</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0.8073</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0.8964</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1.0000</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1.0516</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1.1134</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1.1980</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1.2803</w:t>
            </w:r>
          </w:p>
        </w:tc>
      </w:tr>
      <w:tr>
        <w:tblPrEx>
          <w:tblCellMar>
            <w:top w:w="0" w:type="dxa"/>
            <w:left w:w="0" w:type="dxa"/>
            <w:bottom w:w="0" w:type="dxa"/>
            <w:right w:w="0" w:type="dxa"/>
          </w:tblCellMar>
        </w:tblPrEx>
        <w:tc>
          <w:tcPr>
            <w:tcW w:w="134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容积率</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2.4</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2.6</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2.8</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3.2</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3.4</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3.6</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≥3.8</w:t>
            </w:r>
          </w:p>
        </w:tc>
      </w:tr>
      <w:tr>
        <w:tblPrEx>
          <w:tblCellMar>
            <w:top w:w="0" w:type="dxa"/>
            <w:left w:w="0" w:type="dxa"/>
            <w:bottom w:w="0" w:type="dxa"/>
            <w:right w:w="0" w:type="dxa"/>
          </w:tblCellMar>
        </w:tblPrEx>
        <w:tc>
          <w:tcPr>
            <w:tcW w:w="134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修正系数</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1.3622</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1.4362</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1.4962</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1.5500</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1.6006</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1.6486</w:t>
            </w:r>
          </w:p>
        </w:tc>
        <w:tc>
          <w:tcPr>
            <w:tcW w:w="1014"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1.6912</w:t>
            </w:r>
          </w:p>
        </w:tc>
        <w:tc>
          <w:tcPr>
            <w:tcW w:w="1012"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1.7288</w:t>
            </w:r>
          </w:p>
        </w:tc>
      </w:tr>
    </w:tbl>
    <w:p>
      <w:pPr>
        <w:pStyle w:val="4"/>
        <w:keepNext w:val="0"/>
        <w:keepLines w:val="0"/>
        <w:widowControl/>
        <w:suppressLineNumbers w:val="0"/>
        <w:spacing w:before="0" w:beforeAutospacing="0" w:after="0" w:afterAutospacing="0" w:line="400" w:lineRule="atLeast"/>
        <w:ind w:left="0" w:right="0" w:firstLine="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4、开发程度修正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五通一平”则作加价修正，如果待估宗地开发程度低于基准地价评估设定的“五通一平”则作减价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5、 宗地地价评估</w:t>
      </w:r>
    </w:p>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3095625" cy="466725"/>
            <wp:effectExtent l="0" t="0" r="9525" b="8255"/>
            <wp:docPr id="15" name="图片 55"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5" descr="IMG_310"/>
                    <pic:cNvPicPr>
                      <a:picLocks noChangeAspect="1"/>
                    </pic:cNvPicPr>
                  </pic:nvPicPr>
                  <pic:blipFill>
                    <a:blip r:embed="rId42"/>
                    <a:stretch>
                      <a:fillRect/>
                    </a:stretch>
                  </pic:blipFill>
                  <pic:spPr>
                    <a:xfrm>
                      <a:off x="0" y="0"/>
                      <a:ext cx="3095625"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12" name="图片 56"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6" descr="IMG_311"/>
                    <pic:cNvPicPr>
                      <a:picLocks noChangeAspect="1"/>
                    </pic:cNvPicPr>
                  </pic:nvPicPr>
                  <pic:blipFill>
                    <a:blip r:embed="rId14"/>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：区域因素修正系数，</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32" name="图片 57"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7" descr="IMG_312"/>
                    <pic:cNvPicPr>
                      <a:picLocks noChangeAspect="1"/>
                    </pic:cNvPicPr>
                  </pic:nvPicPr>
                  <pic:blipFill>
                    <a:blip r:embed="rId43"/>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：个别因素修正系数，</w:t>
      </w:r>
      <w:r>
        <w:rPr>
          <w:rFonts w:hint="eastAsia" w:ascii="仿宋" w:hAnsi="仿宋" w:eastAsia="仿宋" w:cs="仿宋"/>
          <w:color w:val="333333"/>
          <w:sz w:val="24"/>
          <w:szCs w:val="24"/>
          <w:bdr w:val="none" w:color="auto" w:sz="0" w:space="0"/>
        </w:rPr>
        <w:drawing>
          <wp:inline distT="0" distB="0" distL="114300" distR="114300">
            <wp:extent cx="104775" cy="133350"/>
            <wp:effectExtent l="0" t="0" r="9525" b="0"/>
            <wp:docPr id="10" name="图片 58"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8" descr="IMG_313"/>
                    <pic:cNvPicPr>
                      <a:picLocks noChangeAspect="1"/>
                    </pic:cNvPicPr>
                  </pic:nvPicPr>
                  <pic:blipFill>
                    <a:blip r:embed="rId16"/>
                    <a:stretch>
                      <a:fillRect/>
                    </a:stretch>
                  </pic:blipFill>
                  <pic:spPr>
                    <a:xfrm>
                      <a:off x="0" y="0"/>
                      <a:ext cx="104775"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：其他因素修正系数，</w:t>
      </w:r>
      <w:r>
        <w:rPr>
          <w:rFonts w:hint="eastAsia" w:ascii="仿宋" w:hAnsi="仿宋" w:eastAsia="仿宋" w:cs="仿宋"/>
          <w:color w:val="333333"/>
          <w:sz w:val="24"/>
          <w:szCs w:val="24"/>
          <w:bdr w:val="none" w:color="auto" w:sz="0" w:space="0"/>
        </w:rPr>
        <w:drawing>
          <wp:inline distT="0" distB="0" distL="114300" distR="114300">
            <wp:extent cx="95250" cy="133350"/>
            <wp:effectExtent l="0" t="0" r="0" b="0"/>
            <wp:docPr id="9" name="图片 59" descr="IMG_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9" descr="IMG_314"/>
                    <pic:cNvPicPr>
                      <a:picLocks noChangeAspect="1"/>
                    </pic:cNvPicPr>
                  </pic:nvPicPr>
                  <pic:blipFill>
                    <a:blip r:embed="rId44"/>
                    <a:stretch>
                      <a:fillRect/>
                    </a:stretch>
                  </pic:blipFill>
                  <pic:spPr>
                    <a:xfrm>
                      <a:off x="0" y="0"/>
                      <a:ext cx="95250" cy="133350"/>
                    </a:xfrm>
                    <a:prstGeom prst="rect">
                      <a:avLst/>
                    </a:prstGeom>
                    <a:noFill/>
                    <a:ln w="9525">
                      <a:noFill/>
                    </a:ln>
                  </pic:spPr>
                </pic:pic>
              </a:graphicData>
            </a:graphic>
          </wp:inline>
        </w:drawing>
      </w:r>
      <w:r>
        <w:rPr>
          <w:rFonts w:hint="eastAsia" w:ascii="仿宋" w:hAnsi="仿宋" w:eastAsia="仿宋" w:cs="仿宋"/>
          <w:color w:val="333333"/>
          <w:sz w:val="24"/>
          <w:szCs w:val="24"/>
        </w:rPr>
        <w:t>：开发程度修正，</w:t>
      </w:r>
      <w:r>
        <w:rPr>
          <w:rFonts w:hint="eastAsia" w:ascii="仿宋" w:hAnsi="仿宋" w:eastAsia="仿宋" w:cs="仿宋"/>
          <w:color w:val="333333"/>
          <w:sz w:val="24"/>
          <w:szCs w:val="24"/>
          <w:bdr w:val="none" w:color="auto" w:sz="0" w:space="0"/>
        </w:rPr>
        <w:drawing>
          <wp:inline distT="0" distB="0" distL="114300" distR="114300">
            <wp:extent cx="38100" cy="133350"/>
            <wp:effectExtent l="0" t="0" r="0" b="0"/>
            <wp:docPr id="8" name="图片 60"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0" descr="IMG_315"/>
                    <pic:cNvPicPr>
                      <a:picLocks noChangeAspect="1"/>
                    </pic:cNvPicPr>
                  </pic:nvPicPr>
                  <pic:blipFill>
                    <a:blip r:embed="rId45"/>
                    <a:stretch>
                      <a:fillRect/>
                    </a:stretch>
                  </pic:blipFill>
                  <pic:spPr>
                    <a:xfrm>
                      <a:off x="0" y="0"/>
                      <a:ext cx="38100"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：区域因素个数；</w:t>
      </w:r>
      <w:r>
        <w:rPr>
          <w:rFonts w:hint="eastAsia" w:ascii="仿宋" w:hAnsi="仿宋" w:eastAsia="仿宋" w:cs="仿宋"/>
          <w:color w:val="333333"/>
          <w:sz w:val="24"/>
          <w:szCs w:val="24"/>
          <w:bdr w:val="none" w:color="auto" w:sz="0" w:space="0"/>
        </w:rPr>
        <w:drawing>
          <wp:inline distT="0" distB="0" distL="114300" distR="114300">
            <wp:extent cx="104775" cy="238125"/>
            <wp:effectExtent l="0" t="0" r="9525" b="8255"/>
            <wp:docPr id="7" name="图片 61"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1" descr="IMG_316"/>
                    <pic:cNvPicPr>
                      <a:picLocks noChangeAspect="1"/>
                    </pic:cNvPicPr>
                  </pic:nvPicPr>
                  <pic:blipFill>
                    <a:blip r:embed="rId46"/>
                    <a:stretch>
                      <a:fillRect/>
                    </a:stretch>
                  </pic:blipFill>
                  <pic:spPr>
                    <a:xfrm>
                      <a:off x="0" y="0"/>
                      <a:ext cx="104775" cy="238125"/>
                    </a:xfrm>
                    <a:prstGeom prst="rect">
                      <a:avLst/>
                    </a:prstGeom>
                    <a:noFill/>
                    <a:ln w="9525">
                      <a:noFill/>
                    </a:ln>
                  </pic:spPr>
                </pic:pic>
              </a:graphicData>
            </a:graphic>
          </wp:inline>
        </w:drawing>
      </w:r>
      <w:r>
        <w:rPr>
          <w:rFonts w:hint="eastAsia" w:ascii="仿宋" w:hAnsi="仿宋" w:eastAsia="仿宋" w:cs="仿宋"/>
          <w:color w:val="333333"/>
          <w:sz w:val="24"/>
          <w:szCs w:val="24"/>
        </w:rPr>
        <w:t>，个别因素个数，</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5" name="图片 62"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2" descr="IMG_317"/>
                    <pic:cNvPicPr>
                      <a:picLocks noChangeAspect="1"/>
                    </pic:cNvPicPr>
                  </pic:nvPicPr>
                  <pic:blipFill>
                    <a:blip r:embed="rId47"/>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：其他因素个数。</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二、公共服务用地（第二大类）宗地地价修正体系</w:t>
      </w:r>
    </w:p>
    <w:p>
      <w:pPr>
        <w:pStyle w:val="4"/>
        <w:keepNext w:val="0"/>
        <w:keepLines w:val="0"/>
        <w:widowControl/>
        <w:suppressLineNumbers w:val="0"/>
        <w:spacing w:before="0" w:beforeAutospacing="0" w:after="0" w:afterAutospacing="0" w:line="440" w:lineRule="atLeast"/>
        <w:ind w:left="0" w:right="0" w:firstLine="0"/>
        <w:jc w:val="both"/>
        <w:rPr>
          <w:rFonts w:hint="default" w:ascii="Calibri" w:hAnsi="Calibri" w:cs="Calibri"/>
          <w:sz w:val="21"/>
          <w:szCs w:val="21"/>
        </w:rPr>
      </w:pPr>
      <w:r>
        <w:rPr>
          <w:rFonts w:hint="eastAsia" w:ascii="仿宋" w:hAnsi="仿宋" w:eastAsia="仿宋" w:cs="仿宋"/>
          <w:color w:val="333333"/>
          <w:sz w:val="24"/>
          <w:szCs w:val="24"/>
        </w:rPr>
        <w:t>1、Ⅰ级公共服务用地（第二大类）宗地地价影响因素修正系数表</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表3-5-12 南昌市城区一级公共服务用地（第二大类）宗地地价修正系数表</w:t>
      </w:r>
    </w:p>
    <w:p>
      <w:pPr>
        <w:pStyle w:val="4"/>
        <w:keepNext w:val="0"/>
        <w:keepLines w:val="0"/>
        <w:widowControl/>
        <w:suppressLineNumbers w:val="0"/>
        <w:spacing w:before="0" w:beforeAutospacing="0" w:after="0" w:afterAutospacing="0" w:line="240" w:lineRule="auto"/>
        <w:ind w:left="0" w:right="0" w:firstLine="0"/>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607"/>
        <w:gridCol w:w="2698"/>
        <w:gridCol w:w="905"/>
        <w:gridCol w:w="1093"/>
        <w:gridCol w:w="905"/>
        <w:gridCol w:w="1157"/>
        <w:gridCol w:w="1157"/>
      </w:tblGrid>
      <w:tr>
        <w:tblPrEx>
          <w:shd w:val="clear"/>
          <w:tblCellMar>
            <w:top w:w="0" w:type="dxa"/>
            <w:left w:w="0" w:type="dxa"/>
            <w:bottom w:w="0" w:type="dxa"/>
            <w:right w:w="0" w:type="dxa"/>
          </w:tblCellMar>
        </w:tblPrEx>
        <w:trPr>
          <w:trHeight w:val="270" w:hRule="atLeast"/>
        </w:trPr>
        <w:tc>
          <w:tcPr>
            <w:tcW w:w="193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64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00"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-2.06 </w:t>
            </w:r>
          </w:p>
        </w:tc>
      </w:tr>
      <w:tr>
        <w:tblPrEx>
          <w:tblCellMar>
            <w:top w:w="0" w:type="dxa"/>
            <w:left w:w="0" w:type="dxa"/>
            <w:bottom w:w="0" w:type="dxa"/>
            <w:right w:w="0" w:type="dxa"/>
          </w:tblCellMar>
        </w:tblPrEx>
        <w:trPr>
          <w:trHeight w:val="54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2.12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-2.07 </w:t>
            </w:r>
          </w:p>
        </w:tc>
      </w:tr>
      <w:tr>
        <w:tblPrEx>
          <w:tblCellMar>
            <w:top w:w="0" w:type="dxa"/>
            <w:left w:w="0" w:type="dxa"/>
            <w:bottom w:w="0" w:type="dxa"/>
            <w:right w:w="0" w:type="dxa"/>
          </w:tblCellMar>
        </w:tblPrEx>
        <w:trPr>
          <w:trHeight w:val="315"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1.84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-1.80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1.84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-1.80 </w:t>
            </w:r>
          </w:p>
        </w:tc>
      </w:tr>
      <w:tr>
        <w:tblPrEx>
          <w:tblCellMar>
            <w:top w:w="0" w:type="dxa"/>
            <w:left w:w="0" w:type="dxa"/>
            <w:bottom w:w="0" w:type="dxa"/>
            <w:right w:w="0" w:type="dxa"/>
          </w:tblCellMar>
        </w:tblPrEx>
        <w:trPr>
          <w:trHeight w:val="345"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r>
      <w:tr>
        <w:tblPrEx>
          <w:tblCellMar>
            <w:top w:w="0" w:type="dxa"/>
            <w:left w:w="0" w:type="dxa"/>
            <w:bottom w:w="0" w:type="dxa"/>
            <w:right w:w="0" w:type="dxa"/>
          </w:tblCellMar>
        </w:tblPrEx>
        <w:trPr>
          <w:trHeight w:val="315"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r>
      <w:tr>
        <w:tblPrEx>
          <w:tblCellMar>
            <w:top w:w="0" w:type="dxa"/>
            <w:left w:w="0" w:type="dxa"/>
            <w:bottom w:w="0" w:type="dxa"/>
            <w:right w:w="0" w:type="dxa"/>
          </w:tblCellMar>
        </w:tblPrEx>
        <w:trPr>
          <w:trHeight w:val="30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r>
      <w:tr>
        <w:tblPrEx>
          <w:tblCellMar>
            <w:top w:w="0" w:type="dxa"/>
            <w:left w:w="0" w:type="dxa"/>
            <w:bottom w:w="0" w:type="dxa"/>
            <w:right w:w="0" w:type="dxa"/>
          </w:tblCellMar>
        </w:tblPrEx>
        <w:trPr>
          <w:trHeight w:val="39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r>
      <w:tr>
        <w:tblPrEx>
          <w:tblCellMar>
            <w:top w:w="0" w:type="dxa"/>
            <w:left w:w="0" w:type="dxa"/>
            <w:bottom w:w="0" w:type="dxa"/>
            <w:right w:w="0" w:type="dxa"/>
          </w:tblCellMar>
        </w:tblPrEx>
        <w:trPr>
          <w:trHeight w:val="375"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r>
      <w:tr>
        <w:tblPrEx>
          <w:tblCellMar>
            <w:top w:w="0" w:type="dxa"/>
            <w:left w:w="0" w:type="dxa"/>
            <w:bottom w:w="0" w:type="dxa"/>
            <w:right w:w="0" w:type="dxa"/>
          </w:tblCellMar>
        </w:tblPrEx>
        <w:trPr>
          <w:trHeight w:val="30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315"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r>
      <w:tr>
        <w:tblPrEx>
          <w:tblCellMar>
            <w:top w:w="0" w:type="dxa"/>
            <w:left w:w="0" w:type="dxa"/>
            <w:bottom w:w="0" w:type="dxa"/>
            <w:right w:w="0" w:type="dxa"/>
          </w:tblCellMar>
        </w:tblPrEx>
        <w:trPr>
          <w:trHeight w:val="33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r>
    </w:tbl>
    <w:p>
      <w:pPr>
        <w:pStyle w:val="4"/>
        <w:keepNext w:val="0"/>
        <w:keepLines w:val="0"/>
        <w:widowControl/>
        <w:suppressLineNumbers w:val="0"/>
        <w:spacing w:before="0" w:beforeAutospacing="0" w:after="0" w:afterAutospacing="0" w:line="240" w:lineRule="auto"/>
        <w:ind w:left="0" w:right="0" w:firstLine="0"/>
        <w:jc w:val="left"/>
        <w:rPr>
          <w:rFonts w:hint="default" w:ascii="Calibri" w:hAnsi="Calibri" w:cs="Calibri"/>
          <w:sz w:val="21"/>
          <w:szCs w:val="21"/>
        </w:rPr>
      </w:pPr>
      <w:r>
        <w:rPr>
          <w:rFonts w:hint="eastAsia" w:ascii="仿宋" w:hAnsi="仿宋" w:eastAsia="仿宋" w:cs="仿宋"/>
          <w:b/>
          <w:color w:val="333333"/>
          <w:sz w:val="24"/>
          <w:szCs w:val="24"/>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表3-5-13 南昌市城区一级公共服务用地（第二大类）宗地地价修正系数说明表</w:t>
      </w:r>
    </w:p>
    <w:tbl>
      <w:tblPr>
        <w:tblW w:w="5144" w:type="pct"/>
        <w:tblInd w:w="0" w:type="dxa"/>
        <w:shd w:val="clear"/>
        <w:tblLayout w:type="autofit"/>
        <w:tblCellMar>
          <w:top w:w="0" w:type="dxa"/>
          <w:left w:w="0" w:type="dxa"/>
          <w:bottom w:w="0" w:type="dxa"/>
          <w:right w:w="0" w:type="dxa"/>
        </w:tblCellMar>
      </w:tblPr>
      <w:tblGrid>
        <w:gridCol w:w="685"/>
        <w:gridCol w:w="1841"/>
        <w:gridCol w:w="1021"/>
        <w:gridCol w:w="1405"/>
        <w:gridCol w:w="1277"/>
        <w:gridCol w:w="1279"/>
        <w:gridCol w:w="1259"/>
      </w:tblGrid>
      <w:tr>
        <w:tblPrEx>
          <w:shd w:val="clear"/>
          <w:tblCellMar>
            <w:top w:w="0" w:type="dxa"/>
            <w:left w:w="0" w:type="dxa"/>
            <w:bottom w:w="0" w:type="dxa"/>
            <w:right w:w="0" w:type="dxa"/>
          </w:tblCellMar>
        </w:tblPrEx>
        <w:trPr>
          <w:trHeight w:val="345" w:hRule="atLeast"/>
        </w:trPr>
        <w:tc>
          <w:tcPr>
            <w:tcW w:w="1441"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8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80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2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2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71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330" w:hRule="atLeast"/>
        </w:trPr>
        <w:tc>
          <w:tcPr>
            <w:tcW w:w="39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37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3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101～300米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30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&gt;2601米</w:t>
            </w:r>
          </w:p>
        </w:tc>
      </w:tr>
      <w:tr>
        <w:tblPrEx>
          <w:tblCellMar>
            <w:top w:w="0" w:type="dxa"/>
            <w:left w:w="0" w:type="dxa"/>
            <w:bottom w:w="0" w:type="dxa"/>
            <w:right w:w="0" w:type="dxa"/>
          </w:tblCellMar>
        </w:tblPrEx>
        <w:trPr>
          <w:trHeight w:val="31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33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9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0～700米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701～1250米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1251～1800米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1801～2350米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&gt;2351米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7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&gt;2601米</w:t>
            </w:r>
          </w:p>
        </w:tc>
      </w:tr>
      <w:tr>
        <w:tblPrEx>
          <w:tblCellMar>
            <w:top w:w="0" w:type="dxa"/>
            <w:left w:w="0" w:type="dxa"/>
            <w:bottom w:w="0" w:type="dxa"/>
            <w:right w:w="0" w:type="dxa"/>
          </w:tblCellMar>
        </w:tblPrEx>
        <w:trPr>
          <w:trHeight w:val="33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80" w:hRule="atLeast"/>
        </w:trPr>
        <w:tc>
          <w:tcPr>
            <w:tcW w:w="39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80"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71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表3-5-14南昌市城区二级公共服务用地（第二大类）宗地地价修正系数表</w:t>
      </w:r>
    </w:p>
    <w:p>
      <w:pPr>
        <w:pStyle w:val="4"/>
        <w:keepNext w:val="0"/>
        <w:keepLines w:val="0"/>
        <w:widowControl/>
        <w:suppressLineNumbers w:val="0"/>
        <w:spacing w:before="0" w:beforeAutospacing="0" w:after="0" w:afterAutospacing="0" w:line="400" w:lineRule="atLeast"/>
        <w:ind w:left="0" w:right="0" w:firstLine="0"/>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607"/>
        <w:gridCol w:w="2698"/>
        <w:gridCol w:w="905"/>
        <w:gridCol w:w="1093"/>
        <w:gridCol w:w="905"/>
        <w:gridCol w:w="1157"/>
        <w:gridCol w:w="1157"/>
      </w:tblGrid>
      <w:tr>
        <w:tblPrEx>
          <w:shd w:val="clear"/>
          <w:tblCellMar>
            <w:top w:w="0" w:type="dxa"/>
            <w:left w:w="0" w:type="dxa"/>
            <w:bottom w:w="0" w:type="dxa"/>
            <w:right w:w="0" w:type="dxa"/>
          </w:tblCellMar>
        </w:tblPrEx>
        <w:trPr>
          <w:trHeight w:val="270" w:hRule="atLeast"/>
        </w:trPr>
        <w:tc>
          <w:tcPr>
            <w:tcW w:w="193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64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32"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-2.00 </w:t>
            </w:r>
          </w:p>
        </w:tc>
      </w:tr>
      <w:tr>
        <w:tblPrEx>
          <w:tblCellMar>
            <w:top w:w="0" w:type="dxa"/>
            <w:left w:w="0" w:type="dxa"/>
            <w:bottom w:w="0" w:type="dxa"/>
            <w:right w:w="0" w:type="dxa"/>
          </w:tblCellMar>
        </w:tblPrEx>
        <w:trPr>
          <w:trHeight w:val="333"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-1.74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-1.74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r>
      <w:tr>
        <w:tblPrEx>
          <w:tblCellMar>
            <w:top w:w="0" w:type="dxa"/>
            <w:left w:w="0" w:type="dxa"/>
            <w:bottom w:w="0" w:type="dxa"/>
            <w:right w:w="0" w:type="dxa"/>
          </w:tblCellMar>
        </w:tblPrEx>
        <w:trPr>
          <w:trHeight w:val="447"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-1.54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-1.81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-1.81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表3-5-15南昌市城区二级公共服务用地（第二大类）宗地地价修正系数说明表</w:t>
      </w:r>
    </w:p>
    <w:tbl>
      <w:tblPr>
        <w:tblW w:w="5000" w:type="pct"/>
        <w:tblInd w:w="0" w:type="dxa"/>
        <w:shd w:val="clear"/>
        <w:tblLayout w:type="autofit"/>
        <w:tblCellMar>
          <w:top w:w="0" w:type="dxa"/>
          <w:left w:w="0" w:type="dxa"/>
          <w:bottom w:w="0" w:type="dxa"/>
          <w:right w:w="0" w:type="dxa"/>
        </w:tblCellMar>
      </w:tblPr>
      <w:tblGrid>
        <w:gridCol w:w="631"/>
        <w:gridCol w:w="1894"/>
        <w:gridCol w:w="1020"/>
        <w:gridCol w:w="1407"/>
        <w:gridCol w:w="1277"/>
        <w:gridCol w:w="1279"/>
        <w:gridCol w:w="1014"/>
      </w:tblGrid>
      <w:tr>
        <w:tblPrEx>
          <w:shd w:val="clear"/>
          <w:tblCellMar>
            <w:top w:w="0" w:type="dxa"/>
            <w:left w:w="0" w:type="dxa"/>
            <w:bottom w:w="0" w:type="dxa"/>
            <w:right w:w="0" w:type="dxa"/>
          </w:tblCellMar>
        </w:tblPrEx>
        <w:trPr>
          <w:trHeight w:val="285" w:hRule="atLeast"/>
        </w:trPr>
        <w:tc>
          <w:tcPr>
            <w:tcW w:w="1481"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82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37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401～600米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601～800米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0～1600米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2201～2800米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2801～3400米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&gt;3400米</w:t>
            </w:r>
          </w:p>
        </w:tc>
      </w:tr>
      <w:tr>
        <w:tblPrEx>
          <w:tblCellMar>
            <w:top w:w="0" w:type="dxa"/>
            <w:left w:w="0" w:type="dxa"/>
            <w:bottom w:w="0" w:type="dxa"/>
            <w:right w:w="0" w:type="dxa"/>
          </w:tblCellMar>
        </w:tblPrEx>
        <w:trPr>
          <w:trHeight w:val="263"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370"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370"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11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82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表3-5-16 南昌市城区三级公共服务用地（第二大类）宗地地价修正系数表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607"/>
        <w:gridCol w:w="2698"/>
        <w:gridCol w:w="905"/>
        <w:gridCol w:w="1093"/>
        <w:gridCol w:w="905"/>
        <w:gridCol w:w="1157"/>
        <w:gridCol w:w="1157"/>
      </w:tblGrid>
      <w:tr>
        <w:tblPrEx>
          <w:shd w:val="clear"/>
          <w:tblCellMar>
            <w:top w:w="0" w:type="dxa"/>
            <w:left w:w="0" w:type="dxa"/>
            <w:bottom w:w="0" w:type="dxa"/>
            <w:right w:w="0" w:type="dxa"/>
          </w:tblCellMar>
        </w:tblPrEx>
        <w:trPr>
          <w:trHeight w:val="270" w:hRule="atLeast"/>
        </w:trPr>
        <w:tc>
          <w:tcPr>
            <w:tcW w:w="193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64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90"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-1.92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-1.66 </w:t>
            </w:r>
          </w:p>
        </w:tc>
      </w:tr>
      <w:tr>
        <w:tblPrEx>
          <w:tblCellMar>
            <w:top w:w="0" w:type="dxa"/>
            <w:left w:w="0" w:type="dxa"/>
            <w:bottom w:w="0" w:type="dxa"/>
            <w:right w:w="0" w:type="dxa"/>
          </w:tblCellMar>
        </w:tblPrEx>
        <w:trPr>
          <w:trHeight w:val="451"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r>
      <w:tr>
        <w:tblPrEx>
          <w:tblCellMar>
            <w:top w:w="0" w:type="dxa"/>
            <w:left w:w="0" w:type="dxa"/>
            <w:bottom w:w="0" w:type="dxa"/>
            <w:right w:w="0" w:type="dxa"/>
          </w:tblCellMar>
        </w:tblPrEx>
        <w:trPr>
          <w:trHeight w:val="375"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-1.73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-1.73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表3-5-17 南昌市城区三级公共服务用地（第二大类）宗地地价修正系数说明表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144" w:type="pct"/>
        <w:tblInd w:w="0" w:type="dxa"/>
        <w:shd w:val="clear"/>
        <w:tblLayout w:type="autofit"/>
        <w:tblCellMar>
          <w:top w:w="0" w:type="dxa"/>
          <w:left w:w="0" w:type="dxa"/>
          <w:bottom w:w="0" w:type="dxa"/>
          <w:right w:w="0" w:type="dxa"/>
        </w:tblCellMar>
      </w:tblPr>
      <w:tblGrid>
        <w:gridCol w:w="686"/>
        <w:gridCol w:w="1841"/>
        <w:gridCol w:w="1020"/>
        <w:gridCol w:w="1276"/>
        <w:gridCol w:w="1404"/>
        <w:gridCol w:w="1278"/>
        <w:gridCol w:w="1262"/>
      </w:tblGrid>
      <w:tr>
        <w:tblPrEx>
          <w:shd w:val="clear"/>
          <w:tblCellMar>
            <w:top w:w="0" w:type="dxa"/>
            <w:left w:w="0" w:type="dxa"/>
            <w:bottom w:w="0" w:type="dxa"/>
            <w:right w:w="0" w:type="dxa"/>
          </w:tblCellMar>
        </w:tblPrEx>
        <w:trPr>
          <w:trHeight w:val="285" w:hRule="atLeast"/>
        </w:trPr>
        <w:tc>
          <w:tcPr>
            <w:tcW w:w="1441"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82"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2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0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2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71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39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1101～1500米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2501～3150米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3151～3800米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3801～4450米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&gt;4450米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2501～3500米</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&gt;5500米</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39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39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8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2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0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2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71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表3-5-18 南昌市城区四级公共服务用地（第二大类）宗地地价修正系数表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589"/>
        <w:gridCol w:w="2716"/>
        <w:gridCol w:w="905"/>
        <w:gridCol w:w="1091"/>
        <w:gridCol w:w="905"/>
        <w:gridCol w:w="1158"/>
        <w:gridCol w:w="1158"/>
      </w:tblGrid>
      <w:tr>
        <w:tblPrEx>
          <w:shd w:val="clear"/>
          <w:tblCellMar>
            <w:top w:w="0" w:type="dxa"/>
            <w:left w:w="0" w:type="dxa"/>
            <w:bottom w:w="0" w:type="dxa"/>
            <w:right w:w="0" w:type="dxa"/>
          </w:tblCellMar>
        </w:tblPrEx>
        <w:trPr>
          <w:trHeight w:val="270" w:hRule="atLeast"/>
        </w:trPr>
        <w:tc>
          <w:tcPr>
            <w:tcW w:w="193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64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90" w:hRule="atLeast"/>
        </w:trPr>
        <w:tc>
          <w:tcPr>
            <w:tcW w:w="34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1.81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-1.72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-1.73 </w:t>
            </w:r>
          </w:p>
        </w:tc>
      </w:tr>
      <w:tr>
        <w:tblPrEx>
          <w:tblCellMar>
            <w:top w:w="0" w:type="dxa"/>
            <w:left w:w="0" w:type="dxa"/>
            <w:bottom w:w="0" w:type="dxa"/>
            <w:right w:w="0" w:type="dxa"/>
          </w:tblCellMar>
        </w:tblPrEx>
        <w:trPr>
          <w:trHeight w:val="475"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-1.50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-1.50 </w:t>
            </w:r>
          </w:p>
        </w:tc>
      </w:tr>
      <w:tr>
        <w:tblPrEx>
          <w:tblCellMar>
            <w:top w:w="0" w:type="dxa"/>
            <w:left w:w="0" w:type="dxa"/>
            <w:bottom w:w="0" w:type="dxa"/>
            <w:right w:w="0" w:type="dxa"/>
          </w:tblCellMar>
        </w:tblPrEx>
        <w:trPr>
          <w:trHeight w:val="451"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r>
      <w:tr>
        <w:tblPrEx>
          <w:tblCellMar>
            <w:top w:w="0" w:type="dxa"/>
            <w:left w:w="0" w:type="dxa"/>
            <w:bottom w:w="0" w:type="dxa"/>
            <w:right w:w="0" w:type="dxa"/>
          </w:tblCellMar>
        </w:tblPrEx>
        <w:trPr>
          <w:trHeight w:val="27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r>
      <w:tr>
        <w:tblPrEx>
          <w:tblCellMar>
            <w:top w:w="0" w:type="dxa"/>
            <w:left w:w="0" w:type="dxa"/>
            <w:bottom w:w="0" w:type="dxa"/>
            <w:right w:w="0" w:type="dxa"/>
          </w:tblCellMar>
        </w:tblPrEx>
        <w:trPr>
          <w:trHeight w:val="27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r>
      <w:tr>
        <w:tblPrEx>
          <w:tblCellMar>
            <w:top w:w="0" w:type="dxa"/>
            <w:left w:w="0" w:type="dxa"/>
            <w:bottom w:w="0" w:type="dxa"/>
            <w:right w:w="0" w:type="dxa"/>
          </w:tblCellMar>
        </w:tblPrEx>
        <w:trPr>
          <w:trHeight w:val="27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1.40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-1.33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r>
      <w:tr>
        <w:tblPrEx>
          <w:tblCellMar>
            <w:top w:w="0" w:type="dxa"/>
            <w:left w:w="0" w:type="dxa"/>
            <w:bottom w:w="0" w:type="dxa"/>
            <w:right w:w="0" w:type="dxa"/>
          </w:tblCellMar>
        </w:tblPrEx>
        <w:trPr>
          <w:trHeight w:val="448"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r>
      <w:tr>
        <w:tblPrEx>
          <w:tblCellMar>
            <w:top w:w="0" w:type="dxa"/>
            <w:left w:w="0" w:type="dxa"/>
            <w:bottom w:w="0" w:type="dxa"/>
            <w:right w:w="0" w:type="dxa"/>
          </w:tblCellMar>
        </w:tblPrEx>
        <w:trPr>
          <w:trHeight w:val="27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r>
      <w:tr>
        <w:tblPrEx>
          <w:tblCellMar>
            <w:top w:w="0" w:type="dxa"/>
            <w:left w:w="0" w:type="dxa"/>
            <w:bottom w:w="0" w:type="dxa"/>
            <w:right w:w="0" w:type="dxa"/>
          </w:tblCellMar>
        </w:tblPrEx>
        <w:trPr>
          <w:trHeight w:val="51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34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-1.56 </w:t>
            </w:r>
          </w:p>
        </w:tc>
      </w:tr>
      <w:tr>
        <w:tblPrEx>
          <w:tblCellMar>
            <w:top w:w="0" w:type="dxa"/>
            <w:left w:w="0" w:type="dxa"/>
            <w:bottom w:w="0" w:type="dxa"/>
            <w:right w:w="0" w:type="dxa"/>
          </w:tblCellMar>
        </w:tblPrEx>
        <w:trPr>
          <w:trHeight w:val="270" w:hRule="atLeast"/>
        </w:trPr>
        <w:tc>
          <w:tcPr>
            <w:tcW w:w="34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9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c>
          <w:tcPr>
            <w:tcW w:w="6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-1.56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表3-5-19 南昌市城区四级公共服务用地（第二大类）宗地地价修正系数说明表</w:t>
      </w:r>
    </w:p>
    <w:tbl>
      <w:tblPr>
        <w:tblW w:w="5000" w:type="pct"/>
        <w:tblInd w:w="0" w:type="dxa"/>
        <w:shd w:val="clear"/>
        <w:tblLayout w:type="autofit"/>
        <w:tblCellMar>
          <w:top w:w="0" w:type="dxa"/>
          <w:left w:w="0" w:type="dxa"/>
          <w:bottom w:w="0" w:type="dxa"/>
          <w:right w:w="0" w:type="dxa"/>
        </w:tblCellMar>
      </w:tblPr>
      <w:tblGrid>
        <w:gridCol w:w="683"/>
        <w:gridCol w:w="1713"/>
        <w:gridCol w:w="1023"/>
        <w:gridCol w:w="1277"/>
        <w:gridCol w:w="1532"/>
        <w:gridCol w:w="1278"/>
        <w:gridCol w:w="1016"/>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601～1000米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1001～1500米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1501～2000米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&gt;2000米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3401～4200米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4201～4900米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4901～5600米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表3-5-20 南昌市城区五级公共服务用地（第二大类）宗地地价修正系数表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607"/>
        <w:gridCol w:w="2698"/>
        <w:gridCol w:w="905"/>
        <w:gridCol w:w="1093"/>
        <w:gridCol w:w="905"/>
        <w:gridCol w:w="1157"/>
        <w:gridCol w:w="1157"/>
      </w:tblGrid>
      <w:tr>
        <w:tblPrEx>
          <w:shd w:val="clear"/>
          <w:tblCellMar>
            <w:top w:w="0" w:type="dxa"/>
            <w:left w:w="0" w:type="dxa"/>
            <w:bottom w:w="0" w:type="dxa"/>
            <w:right w:w="0" w:type="dxa"/>
          </w:tblCellMar>
        </w:tblPrEx>
        <w:trPr>
          <w:trHeight w:val="270" w:hRule="atLeast"/>
        </w:trPr>
        <w:tc>
          <w:tcPr>
            <w:tcW w:w="1939"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64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3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67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532"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r>
      <w:tr>
        <w:tblPrEx>
          <w:tblCellMar>
            <w:top w:w="0" w:type="dxa"/>
            <w:left w:w="0" w:type="dxa"/>
            <w:bottom w:w="0" w:type="dxa"/>
            <w:right w:w="0" w:type="dxa"/>
          </w:tblCellMar>
        </w:tblPrEx>
        <w:trPr>
          <w:trHeight w:val="349"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-1.43 </w:t>
            </w:r>
          </w:p>
        </w:tc>
      </w:tr>
      <w:tr>
        <w:tblPrEx>
          <w:tblCellMar>
            <w:top w:w="0" w:type="dxa"/>
            <w:left w:w="0" w:type="dxa"/>
            <w:bottom w:w="0" w:type="dxa"/>
            <w:right w:w="0" w:type="dxa"/>
          </w:tblCellMar>
        </w:tblPrEx>
        <w:trPr>
          <w:trHeight w:val="451"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r>
      <w:tr>
        <w:tblPrEx>
          <w:tblCellMar>
            <w:top w:w="0" w:type="dxa"/>
            <w:left w:w="0" w:type="dxa"/>
            <w:bottom w:w="0" w:type="dxa"/>
            <w:right w:w="0" w:type="dxa"/>
          </w:tblCellMar>
        </w:tblPrEx>
        <w:trPr>
          <w:trHeight w:val="36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r>
      <w:tr>
        <w:tblPrEx>
          <w:tblCellMar>
            <w:top w:w="0" w:type="dxa"/>
            <w:left w:w="0" w:type="dxa"/>
            <w:bottom w:w="0" w:type="dxa"/>
            <w:right w:w="0" w:type="dxa"/>
          </w:tblCellMar>
        </w:tblPrEx>
        <w:trPr>
          <w:trHeight w:val="352"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1.30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r>
      <w:tr>
        <w:tblPrEx>
          <w:tblCellMar>
            <w:top w:w="0" w:type="dxa"/>
            <w:left w:w="0" w:type="dxa"/>
            <w:bottom w:w="0" w:type="dxa"/>
            <w:right w:w="0" w:type="dxa"/>
          </w:tblCellMar>
        </w:tblPrEx>
        <w:trPr>
          <w:trHeight w:val="51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r>
      <w:tr>
        <w:tblPrEx>
          <w:tblCellMar>
            <w:top w:w="0" w:type="dxa"/>
            <w:left w:w="0" w:type="dxa"/>
            <w:bottom w:w="0" w:type="dxa"/>
            <w:right w:w="0" w:type="dxa"/>
          </w:tblCellMar>
        </w:tblPrEx>
        <w:trPr>
          <w:trHeight w:val="510" w:hRule="atLeast"/>
        </w:trPr>
        <w:tc>
          <w:tcPr>
            <w:tcW w:w="356"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-1.48 </w:t>
            </w:r>
          </w:p>
        </w:tc>
      </w:tr>
      <w:tr>
        <w:tblPrEx>
          <w:tblCellMar>
            <w:top w:w="0" w:type="dxa"/>
            <w:left w:w="0" w:type="dxa"/>
            <w:bottom w:w="0" w:type="dxa"/>
            <w:right w:w="0" w:type="dxa"/>
          </w:tblCellMar>
        </w:tblPrEx>
        <w:trPr>
          <w:trHeight w:val="270" w:hRule="atLeast"/>
        </w:trPr>
        <w:tc>
          <w:tcPr>
            <w:tcW w:w="356"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58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1.52 </w:t>
            </w:r>
          </w:p>
        </w:tc>
        <w:tc>
          <w:tcPr>
            <w:tcW w:w="64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53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c>
          <w:tcPr>
            <w:tcW w:w="67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-1.48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br w:type="page"/>
      </w:r>
      <w:r>
        <w:rPr>
          <w:rFonts w:hint="eastAsia" w:ascii="仿宋" w:hAnsi="仿宋" w:eastAsia="仿宋" w:cs="仿宋"/>
          <w:b/>
          <w:color w:val="333333"/>
          <w:sz w:val="21"/>
          <w:szCs w:val="21"/>
        </w:rPr>
        <w:t>表3-5-21 南昌市城区五级公共服务用地（第二大类）宗地地价修正系数说明表</w:t>
      </w:r>
    </w:p>
    <w:tbl>
      <w:tblPr>
        <w:tblW w:w="5000" w:type="pct"/>
        <w:tblInd w:w="0" w:type="dxa"/>
        <w:shd w:val="clear"/>
        <w:tblLayout w:type="autofit"/>
        <w:tblCellMar>
          <w:top w:w="0" w:type="dxa"/>
          <w:left w:w="0" w:type="dxa"/>
          <w:bottom w:w="0" w:type="dxa"/>
          <w:right w:w="0" w:type="dxa"/>
        </w:tblCellMar>
      </w:tblPr>
      <w:tblGrid>
        <w:gridCol w:w="683"/>
        <w:gridCol w:w="1713"/>
        <w:gridCol w:w="1023"/>
        <w:gridCol w:w="1277"/>
        <w:gridCol w:w="1532"/>
        <w:gridCol w:w="1278"/>
        <w:gridCol w:w="1016"/>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801～1200米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1201～1600米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&gt;2200米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4301～5050米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5051～5800米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5801～6550米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156" w:beforeAutospacing="0" w:after="156"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（二）公共服务用地宗地地价其他因素修正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1、使用年限修正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我国实行有偿、有期限、有流动的土地使用制度，因此土地使用期限的长短直接影响地价的高低。公共服务用地土地使用权法定最高出让年限为50年，土地还原利率按不同年限实际求取，根据公式：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1685925" cy="962025"/>
            <wp:effectExtent l="0" t="0" r="0" b="0"/>
            <wp:docPr id="64" name="图片 63"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3" descr="IMG_318"/>
                    <pic:cNvPicPr>
                      <a:picLocks noChangeAspect="1"/>
                    </pic:cNvPicPr>
                  </pic:nvPicPr>
                  <pic:blipFill>
                    <a:blip r:embed="rId15"/>
                    <a:stretch>
                      <a:fillRect/>
                    </a:stretch>
                  </pic:blipFill>
                  <pic:spPr>
                    <a:xfrm>
                      <a:off x="0" y="0"/>
                      <a:ext cx="168592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rPr>
        <w:t> </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rPr>
        <w:t> </w:t>
      </w:r>
      <w:r>
        <w:rPr>
          <w:rFonts w:hint="eastAsia" w:ascii="仿宋" w:hAnsi="仿宋" w:eastAsia="仿宋" w:cs="仿宋"/>
          <w:color w:val="333333"/>
          <w:sz w:val="24"/>
          <w:szCs w:val="24"/>
          <w:bdr w:val="none" w:color="auto" w:sz="0" w:space="0"/>
        </w:rPr>
        <w:drawing>
          <wp:inline distT="0" distB="0" distL="114300" distR="114300">
            <wp:extent cx="1323975" cy="962025"/>
            <wp:effectExtent l="0" t="0" r="9525" b="8890"/>
            <wp:docPr id="61" name="图片 64"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4" descr="IMG_319"/>
                    <pic:cNvPicPr>
                      <a:picLocks noChangeAspect="1"/>
                    </pic:cNvPicPr>
                  </pic:nvPicPr>
                  <pic:blipFill>
                    <a:blip r:embed="rId36"/>
                    <a:stretch>
                      <a:fillRect/>
                    </a:stretch>
                  </pic:blipFill>
                  <pic:spPr>
                    <a:xfrm>
                      <a:off x="0" y="0"/>
                      <a:ext cx="132397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60" name="图片 65" descr="IMG_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5" descr="IMG_320"/>
                    <pic:cNvPicPr>
                      <a:picLocks noChangeAspect="1"/>
                    </pic:cNvPicPr>
                  </pic:nvPicPr>
                  <pic:blipFill>
                    <a:blip r:embed="rId6"/>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：—剩余土地使用权年限</w:t>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 xml:space="preserve">      </w:t>
      </w:r>
      <w:r>
        <w:rPr>
          <w:rFonts w:hint="eastAsia" w:ascii="仿宋" w:hAnsi="仿宋" w:eastAsia="仿宋" w:cs="仿宋"/>
          <w:color w:val="333333"/>
          <w:sz w:val="24"/>
          <w:szCs w:val="24"/>
          <w:bdr w:val="none" w:color="auto" w:sz="0" w:space="0"/>
        </w:rPr>
        <w:drawing>
          <wp:inline distT="0" distB="0" distL="114300" distR="114300">
            <wp:extent cx="66675" cy="133350"/>
            <wp:effectExtent l="0" t="0" r="9525" b="0"/>
            <wp:docPr id="59" name="图片 66"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6" descr="IMG_321"/>
                    <pic:cNvPicPr>
                      <a:picLocks noChangeAspect="1"/>
                    </pic:cNvPicPr>
                  </pic:nvPicPr>
                  <pic:blipFill>
                    <a:blip r:embed="rId7"/>
                    <a:stretch>
                      <a:fillRect/>
                    </a:stretch>
                  </pic:blipFill>
                  <pic:spPr>
                    <a:xfrm>
                      <a:off x="0" y="0"/>
                      <a:ext cx="66675" cy="133350"/>
                    </a:xfrm>
                    <a:prstGeom prst="rect">
                      <a:avLst/>
                    </a:prstGeom>
                    <a:noFill/>
                    <a:ln w="9525">
                      <a:noFill/>
                    </a:ln>
                  </pic:spPr>
                </pic:pic>
              </a:graphicData>
            </a:graphic>
          </wp:inline>
        </w:drawing>
      </w:r>
      <w:r>
        <w:rPr>
          <w:rFonts w:hint="eastAsia" w:ascii="仿宋" w:hAnsi="仿宋" w:eastAsia="仿宋" w:cs="仿宋"/>
          <w:color w:val="333333"/>
          <w:sz w:val="24"/>
          <w:szCs w:val="24"/>
        </w:rPr>
        <w:t>：—公共服务用地土地还原利率</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2、估价期日修正</w:t>
      </w:r>
    </w:p>
    <w:p>
      <w:pPr>
        <w:pStyle w:val="4"/>
        <w:keepNext w:val="0"/>
        <w:keepLines w:val="0"/>
        <w:widowControl/>
        <w:suppressLineNumbers w:val="0"/>
        <w:spacing w:before="0" w:beforeAutospacing="0" w:after="0" w:afterAutospacing="0" w:line="360" w:lineRule="auto"/>
        <w:ind w:left="576" w:right="0" w:firstLine="56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2724150" cy="466725"/>
            <wp:effectExtent l="0" t="0" r="0" b="8890"/>
            <wp:docPr id="76" name="图片 67"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67" descr="IMG_322"/>
                    <pic:cNvPicPr>
                      <a:picLocks noChangeAspect="1"/>
                    </pic:cNvPicPr>
                  </pic:nvPicPr>
                  <pic:blipFill>
                    <a:blip r:embed="rId37"/>
                    <a:stretch>
                      <a:fillRect/>
                    </a:stretch>
                  </pic:blipFill>
                  <pic:spPr>
                    <a:xfrm>
                      <a:off x="0" y="0"/>
                      <a:ext cx="2724150" cy="466725"/>
                    </a:xfrm>
                    <a:prstGeom prst="rect">
                      <a:avLst/>
                    </a:prstGeom>
                    <a:noFill/>
                    <a:ln w="9525">
                      <a:noFill/>
                    </a:ln>
                  </pic:spPr>
                </pic:pic>
              </a:graphicData>
            </a:graphic>
          </wp:inline>
        </w:drawing>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3、容积率修正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容积率修正公式：</w:t>
      </w:r>
    </w:p>
    <w:p>
      <w:pPr>
        <w:pStyle w:val="4"/>
        <w:keepNext w:val="0"/>
        <w:keepLines w:val="0"/>
        <w:widowControl/>
        <w:suppressLineNumbers w:val="0"/>
        <w:spacing w:before="120" w:beforeAutospacing="0" w:after="120" w:afterAutospacing="0" w:line="240" w:lineRule="auto"/>
        <w:ind w:left="840" w:right="0" w:firstLine="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742950" cy="238125"/>
            <wp:effectExtent l="0" t="0" r="0" b="0"/>
            <wp:docPr id="66" name="图片 68"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8" descr="IMG_323"/>
                    <pic:cNvPicPr>
                      <a:picLocks noChangeAspect="1"/>
                    </pic:cNvPicPr>
                  </pic:nvPicPr>
                  <pic:blipFill>
                    <a:blip r:embed="rId15"/>
                    <a:stretch>
                      <a:fillRect/>
                    </a:stretch>
                  </pic:blipFill>
                  <pic:spPr>
                    <a:xfrm>
                      <a:off x="0" y="0"/>
                      <a:ext cx="742950" cy="2381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95250" cy="133350"/>
            <wp:effectExtent l="0" t="0" r="0" b="0"/>
            <wp:docPr id="21" name="图片 69"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9" descr="IMG_324"/>
                    <pic:cNvPicPr>
                      <a:picLocks noChangeAspect="1"/>
                    </pic:cNvPicPr>
                  </pic:nvPicPr>
                  <pic:blipFill>
                    <a:blip r:embed="rId39"/>
                    <a:stretch>
                      <a:fillRect/>
                    </a:stretch>
                  </pic:blipFill>
                  <pic:spPr>
                    <a:xfrm>
                      <a:off x="0" y="0"/>
                      <a:ext cx="95250" cy="133350"/>
                    </a:xfrm>
                    <a:prstGeom prst="rect">
                      <a:avLst/>
                    </a:prstGeom>
                    <a:noFill/>
                    <a:ln w="9525">
                      <a:noFill/>
                    </a:ln>
                  </pic:spPr>
                </pic:pic>
              </a:graphicData>
            </a:graphic>
          </wp:inline>
        </w:drawing>
      </w:r>
      <w:r>
        <w:rPr>
          <w:rFonts w:hint="eastAsia" w:ascii="仿宋" w:hAnsi="仿宋" w:eastAsia="仿宋" w:cs="仿宋"/>
          <w:color w:val="333333"/>
          <w:sz w:val="24"/>
          <w:szCs w:val="24"/>
        </w:rPr>
        <w:t>：待估宗地地价，</w:t>
      </w:r>
      <w:r>
        <w:rPr>
          <w:rFonts w:hint="eastAsia" w:ascii="仿宋" w:hAnsi="仿宋" w:eastAsia="仿宋" w:cs="仿宋"/>
          <w:color w:val="333333"/>
          <w:sz w:val="24"/>
          <w:szCs w:val="24"/>
          <w:bdr w:val="none" w:color="auto" w:sz="0" w:space="0"/>
        </w:rPr>
        <w:drawing>
          <wp:inline distT="0" distB="0" distL="114300" distR="114300">
            <wp:extent cx="180975" cy="238125"/>
            <wp:effectExtent l="0" t="0" r="9525" b="7620"/>
            <wp:docPr id="67" name="图片 70"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0" descr="IMG_325"/>
                    <pic:cNvPicPr>
                      <a:picLocks noChangeAspect="1"/>
                    </pic:cNvPicPr>
                  </pic:nvPicPr>
                  <pic:blipFill>
                    <a:blip r:embed="rId40"/>
                    <a:stretch>
                      <a:fillRect/>
                    </a:stretch>
                  </pic:blipFill>
                  <pic:spPr>
                    <a:xfrm>
                      <a:off x="0" y="0"/>
                      <a:ext cx="180975" cy="238125"/>
                    </a:xfrm>
                    <a:prstGeom prst="rect">
                      <a:avLst/>
                    </a:prstGeom>
                    <a:noFill/>
                    <a:ln w="9525">
                      <a:noFill/>
                    </a:ln>
                  </pic:spPr>
                </pic:pic>
              </a:graphicData>
            </a:graphic>
          </wp:inline>
        </w:drawing>
      </w:r>
      <w:r>
        <w:rPr>
          <w:rFonts w:hint="eastAsia" w:ascii="仿宋" w:hAnsi="仿宋" w:eastAsia="仿宋" w:cs="仿宋"/>
          <w:color w:val="333333"/>
          <w:sz w:val="24"/>
          <w:szCs w:val="24"/>
        </w:rPr>
        <w:t>：某级别基准地价，</w:t>
      </w:r>
      <w:r>
        <w:rPr>
          <w:rFonts w:hint="eastAsia" w:ascii="仿宋" w:hAnsi="仿宋" w:eastAsia="仿宋" w:cs="仿宋"/>
          <w:color w:val="333333"/>
          <w:sz w:val="24"/>
          <w:szCs w:val="24"/>
          <w:bdr w:val="none" w:color="auto" w:sz="0" w:space="0"/>
        </w:rPr>
        <w:drawing>
          <wp:inline distT="0" distB="0" distL="114300" distR="114300">
            <wp:extent cx="180975" cy="238125"/>
            <wp:effectExtent l="0" t="0" r="0" b="0"/>
            <wp:docPr id="14" name="图片 71" descr="IMG_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1" descr="IMG_326"/>
                    <pic:cNvPicPr>
                      <a:picLocks noChangeAspect="1"/>
                    </pic:cNvPicPr>
                  </pic:nvPicPr>
                  <pic:blipFill>
                    <a:blip r:embed="rId15"/>
                    <a:stretch>
                      <a:fillRect/>
                    </a:stretch>
                  </pic:blipFill>
                  <pic:spPr>
                    <a:xfrm>
                      <a:off x="0" y="0"/>
                      <a:ext cx="180975" cy="238125"/>
                    </a:xfrm>
                    <a:prstGeom prst="rect">
                      <a:avLst/>
                    </a:prstGeom>
                    <a:noFill/>
                    <a:ln w="9525">
                      <a:noFill/>
                    </a:ln>
                  </pic:spPr>
                </pic:pic>
              </a:graphicData>
            </a:graphic>
          </wp:inline>
        </w:drawing>
      </w:r>
      <w:r>
        <w:rPr>
          <w:rFonts w:hint="eastAsia" w:ascii="仿宋" w:hAnsi="仿宋" w:eastAsia="仿宋" w:cs="仿宋"/>
          <w:color w:val="333333"/>
          <w:sz w:val="24"/>
          <w:szCs w:val="24"/>
        </w:rPr>
        <w:t>容积率修正系数。</w:t>
      </w:r>
    </w:p>
    <w:p>
      <w:pPr>
        <w:pStyle w:val="4"/>
        <w:keepNext w:val="0"/>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二类公服用地容积率修正参照一类公服用地。</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4、开发程度修正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五通一平”则作加价修正，如果待估宗地开发程度低于基准地价评估设定的“五通一平”则作减价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5、宗地地价评估</w:t>
      </w:r>
    </w:p>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3095625" cy="466725"/>
            <wp:effectExtent l="0" t="0" r="0" b="0"/>
            <wp:docPr id="44" name="图片 72" descr="IMG_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2" descr="IMG_327"/>
                    <pic:cNvPicPr>
                      <a:picLocks noChangeAspect="1"/>
                    </pic:cNvPicPr>
                  </pic:nvPicPr>
                  <pic:blipFill>
                    <a:blip r:embed="rId15"/>
                    <a:stretch>
                      <a:fillRect/>
                    </a:stretch>
                  </pic:blipFill>
                  <pic:spPr>
                    <a:xfrm>
                      <a:off x="0" y="0"/>
                      <a:ext cx="3095625"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37" name="图片 73" descr="IMG_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3" descr="IMG_328"/>
                    <pic:cNvPicPr>
                      <a:picLocks noChangeAspect="1"/>
                    </pic:cNvPicPr>
                  </pic:nvPicPr>
                  <pic:blipFill>
                    <a:blip r:embed="rId14"/>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：区域因素修正系数，</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13" name="图片 74" descr="IMG_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4" descr="IMG_329"/>
                    <pic:cNvPicPr>
                      <a:picLocks noChangeAspect="1"/>
                    </pic:cNvPicPr>
                  </pic:nvPicPr>
                  <pic:blipFill>
                    <a:blip r:embed="rId43"/>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：个别因素修正系数，</w:t>
      </w:r>
      <w:r>
        <w:rPr>
          <w:rFonts w:hint="eastAsia" w:ascii="仿宋" w:hAnsi="仿宋" w:eastAsia="仿宋" w:cs="仿宋"/>
          <w:color w:val="333333"/>
          <w:sz w:val="24"/>
          <w:szCs w:val="24"/>
          <w:bdr w:val="none" w:color="auto" w:sz="0" w:space="0"/>
        </w:rPr>
        <w:drawing>
          <wp:inline distT="0" distB="0" distL="114300" distR="114300">
            <wp:extent cx="104775" cy="133350"/>
            <wp:effectExtent l="0" t="0" r="9525" b="0"/>
            <wp:docPr id="36" name="图片 75" descr="IMG_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5" descr="IMG_330"/>
                    <pic:cNvPicPr>
                      <a:picLocks noChangeAspect="1"/>
                    </pic:cNvPicPr>
                  </pic:nvPicPr>
                  <pic:blipFill>
                    <a:blip r:embed="rId16"/>
                    <a:stretch>
                      <a:fillRect/>
                    </a:stretch>
                  </pic:blipFill>
                  <pic:spPr>
                    <a:xfrm>
                      <a:off x="0" y="0"/>
                      <a:ext cx="104775"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：其他因素修正系数，</w:t>
      </w:r>
      <w:r>
        <w:rPr>
          <w:rFonts w:hint="eastAsia" w:ascii="仿宋" w:hAnsi="仿宋" w:eastAsia="仿宋" w:cs="仿宋"/>
          <w:color w:val="333333"/>
          <w:sz w:val="24"/>
          <w:szCs w:val="24"/>
          <w:bdr w:val="none" w:color="auto" w:sz="0" w:space="0"/>
        </w:rPr>
        <w:drawing>
          <wp:inline distT="0" distB="0" distL="114300" distR="114300">
            <wp:extent cx="95250" cy="133350"/>
            <wp:effectExtent l="0" t="0" r="0" b="0"/>
            <wp:docPr id="69" name="图片 76"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6" descr="IMG_331"/>
                    <pic:cNvPicPr>
                      <a:picLocks noChangeAspect="1"/>
                    </pic:cNvPicPr>
                  </pic:nvPicPr>
                  <pic:blipFill>
                    <a:blip r:embed="rId15"/>
                    <a:stretch>
                      <a:fillRect/>
                    </a:stretch>
                  </pic:blipFill>
                  <pic:spPr>
                    <a:xfrm>
                      <a:off x="0" y="0"/>
                      <a:ext cx="95250" cy="133350"/>
                    </a:xfrm>
                    <a:prstGeom prst="rect">
                      <a:avLst/>
                    </a:prstGeom>
                    <a:noFill/>
                    <a:ln w="9525">
                      <a:noFill/>
                    </a:ln>
                  </pic:spPr>
                </pic:pic>
              </a:graphicData>
            </a:graphic>
          </wp:inline>
        </w:drawing>
      </w:r>
      <w:r>
        <w:rPr>
          <w:rFonts w:hint="eastAsia" w:ascii="仿宋" w:hAnsi="仿宋" w:eastAsia="仿宋" w:cs="仿宋"/>
          <w:color w:val="333333"/>
          <w:sz w:val="24"/>
          <w:szCs w:val="24"/>
        </w:rPr>
        <w:t>：开发程度修正，</w:t>
      </w:r>
      <w:r>
        <w:rPr>
          <w:rFonts w:hint="eastAsia" w:ascii="仿宋" w:hAnsi="仿宋" w:eastAsia="仿宋" w:cs="仿宋"/>
          <w:color w:val="333333"/>
          <w:sz w:val="24"/>
          <w:szCs w:val="24"/>
          <w:bdr w:val="none" w:color="auto" w:sz="0" w:space="0"/>
        </w:rPr>
        <w:drawing>
          <wp:inline distT="0" distB="0" distL="114300" distR="114300">
            <wp:extent cx="38100" cy="133350"/>
            <wp:effectExtent l="0" t="0" r="0" b="0"/>
            <wp:docPr id="19" name="图片 77" descr="IMG_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7" descr="IMG_332"/>
                    <pic:cNvPicPr>
                      <a:picLocks noChangeAspect="1"/>
                    </pic:cNvPicPr>
                  </pic:nvPicPr>
                  <pic:blipFill>
                    <a:blip r:embed="rId45"/>
                    <a:stretch>
                      <a:fillRect/>
                    </a:stretch>
                  </pic:blipFill>
                  <pic:spPr>
                    <a:xfrm>
                      <a:off x="0" y="0"/>
                      <a:ext cx="38100"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：区域因素个数；</w:t>
      </w:r>
      <w:r>
        <w:rPr>
          <w:rFonts w:hint="eastAsia" w:ascii="仿宋" w:hAnsi="仿宋" w:eastAsia="仿宋" w:cs="仿宋"/>
          <w:color w:val="333333"/>
          <w:sz w:val="24"/>
          <w:szCs w:val="24"/>
          <w:bdr w:val="none" w:color="auto" w:sz="0" w:space="0"/>
        </w:rPr>
        <w:drawing>
          <wp:inline distT="0" distB="0" distL="114300" distR="114300">
            <wp:extent cx="104775" cy="238125"/>
            <wp:effectExtent l="0" t="0" r="9525" b="8255"/>
            <wp:docPr id="24" name="图片 78" descr="IMG_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8" descr="IMG_333"/>
                    <pic:cNvPicPr>
                      <a:picLocks noChangeAspect="1"/>
                    </pic:cNvPicPr>
                  </pic:nvPicPr>
                  <pic:blipFill>
                    <a:blip r:embed="rId46"/>
                    <a:stretch>
                      <a:fillRect/>
                    </a:stretch>
                  </pic:blipFill>
                  <pic:spPr>
                    <a:xfrm>
                      <a:off x="0" y="0"/>
                      <a:ext cx="104775" cy="238125"/>
                    </a:xfrm>
                    <a:prstGeom prst="rect">
                      <a:avLst/>
                    </a:prstGeom>
                    <a:noFill/>
                    <a:ln w="9525">
                      <a:noFill/>
                    </a:ln>
                  </pic:spPr>
                </pic:pic>
              </a:graphicData>
            </a:graphic>
          </wp:inline>
        </w:drawing>
      </w:r>
      <w:r>
        <w:rPr>
          <w:rFonts w:hint="eastAsia" w:ascii="仿宋" w:hAnsi="仿宋" w:eastAsia="仿宋" w:cs="仿宋"/>
          <w:color w:val="333333"/>
          <w:sz w:val="24"/>
          <w:szCs w:val="24"/>
        </w:rPr>
        <w:t>，个别因素个数，</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39" name="图片 79" descr="IMG_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9" descr="IMG_334"/>
                    <pic:cNvPicPr>
                      <a:picLocks noChangeAspect="1"/>
                    </pic:cNvPicPr>
                  </pic:nvPicPr>
                  <pic:blipFill>
                    <a:blip r:embed="rId47"/>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：其他因素个数。</w:t>
      </w:r>
    </w:p>
    <w:p>
      <w:pPr>
        <w:pStyle w:val="4"/>
        <w:keepNext/>
        <w:keepLines w:val="0"/>
        <w:widowControl/>
        <w:suppressLineNumbers w:val="0"/>
        <w:spacing w:before="94" w:beforeAutospacing="0" w:after="94" w:afterAutospacing="0" w:line="360" w:lineRule="auto"/>
        <w:ind w:left="0" w:right="0" w:firstLine="0"/>
        <w:jc w:val="left"/>
        <w:rPr>
          <w:rFonts w:hint="default" w:ascii="Calibri" w:hAnsi="Calibri" w:cs="Calibri"/>
          <w:sz w:val="21"/>
          <w:szCs w:val="21"/>
        </w:rPr>
      </w:pPr>
      <w:r>
        <w:rPr>
          <w:rFonts w:hint="eastAsia" w:ascii="仿宋" w:hAnsi="仿宋" w:eastAsia="仿宋" w:cs="仿宋"/>
          <w:b/>
          <w:color w:val="333333"/>
          <w:sz w:val="28"/>
          <w:szCs w:val="28"/>
        </w:rPr>
        <w:t>三、公共服务用地（第三大类）宗地地价修正体系</w:t>
      </w:r>
    </w:p>
    <w:p>
      <w:pPr>
        <w:pStyle w:val="4"/>
        <w:keepNext w:val="0"/>
        <w:keepLines w:val="0"/>
        <w:widowControl/>
        <w:suppressLineNumbers w:val="0"/>
        <w:spacing w:before="156" w:beforeAutospacing="0" w:after="156" w:afterAutospacing="0" w:line="240" w:lineRule="atLeast"/>
        <w:ind w:left="0" w:right="0" w:firstLine="480"/>
        <w:jc w:val="both"/>
        <w:rPr>
          <w:rFonts w:hint="default" w:ascii="Calibri" w:hAnsi="Calibri" w:cs="Calibri"/>
          <w:sz w:val="21"/>
          <w:szCs w:val="21"/>
        </w:rPr>
      </w:pPr>
      <w:r>
        <w:rPr>
          <w:rFonts w:hint="eastAsia" w:ascii="仿宋" w:hAnsi="仿宋" w:eastAsia="仿宋" w:cs="仿宋"/>
          <w:color w:val="333333"/>
          <w:sz w:val="24"/>
          <w:szCs w:val="24"/>
        </w:rPr>
        <w:t>（一）公共服务用地（第三大类）宗地地价影响因素修正</w:t>
      </w:r>
    </w:p>
    <w:p>
      <w:pPr>
        <w:pStyle w:val="4"/>
        <w:keepNext w:val="0"/>
        <w:keepLines w:val="0"/>
        <w:widowControl/>
        <w:suppressLineNumbers w:val="0"/>
        <w:spacing w:before="0" w:beforeAutospacing="0" w:after="0" w:afterAutospacing="0" w:line="240" w:lineRule="atLeast"/>
        <w:ind w:left="0" w:right="0" w:firstLine="200"/>
        <w:jc w:val="both"/>
        <w:rPr>
          <w:rFonts w:hint="default" w:ascii="Calibri" w:hAnsi="Calibri" w:cs="Calibri"/>
          <w:sz w:val="21"/>
          <w:szCs w:val="21"/>
        </w:rPr>
      </w:pPr>
      <w:r>
        <w:rPr>
          <w:rFonts w:hint="eastAsia" w:ascii="仿宋" w:hAnsi="仿宋" w:eastAsia="仿宋" w:cs="仿宋"/>
          <w:color w:val="333333"/>
          <w:sz w:val="24"/>
          <w:szCs w:val="24"/>
        </w:rPr>
        <w:t>1、Ⅰ级公共服务用地（第三大类）宗地地价影响因素修正系数表</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表3-5-22 南昌市城区一级公共服务用地（第三大类）宗地地价修正系数表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9300" w:type="dxa"/>
        <w:tblInd w:w="114" w:type="dxa"/>
        <w:shd w:val="clear"/>
        <w:tblLayout w:type="autofit"/>
        <w:tblCellMar>
          <w:top w:w="0" w:type="dxa"/>
          <w:left w:w="0" w:type="dxa"/>
          <w:bottom w:w="0" w:type="dxa"/>
          <w:right w:w="0" w:type="dxa"/>
        </w:tblCellMar>
      </w:tblPr>
      <w:tblGrid>
        <w:gridCol w:w="704"/>
        <w:gridCol w:w="3396"/>
        <w:gridCol w:w="1040"/>
        <w:gridCol w:w="1040"/>
        <w:gridCol w:w="1040"/>
        <w:gridCol w:w="1040"/>
        <w:gridCol w:w="1040"/>
      </w:tblGrid>
      <w:tr>
        <w:tblPrEx>
          <w:shd w:val="clear"/>
          <w:tblCellMar>
            <w:top w:w="0" w:type="dxa"/>
            <w:left w:w="0" w:type="dxa"/>
            <w:bottom w:w="0" w:type="dxa"/>
            <w:right w:w="0" w:type="dxa"/>
          </w:tblCellMar>
        </w:tblPrEx>
        <w:trPr>
          <w:trHeight w:val="270" w:hRule="atLeast"/>
        </w:trPr>
        <w:tc>
          <w:tcPr>
            <w:tcW w:w="41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0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-1.96 </w:t>
            </w:r>
          </w:p>
        </w:tc>
      </w:tr>
      <w:tr>
        <w:tblPrEx>
          <w:tblCellMar>
            <w:top w:w="0" w:type="dxa"/>
            <w:left w:w="0" w:type="dxa"/>
            <w:bottom w:w="0" w:type="dxa"/>
            <w:right w:w="0" w:type="dxa"/>
          </w:tblCellMar>
        </w:tblPrEx>
        <w:trPr>
          <w:trHeight w:val="54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2.02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1.01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-1.97 </w:t>
            </w:r>
          </w:p>
        </w:tc>
      </w:tr>
      <w:tr>
        <w:tblPrEx>
          <w:tblCellMar>
            <w:top w:w="0" w:type="dxa"/>
            <w:left w:w="0" w:type="dxa"/>
            <w:bottom w:w="0" w:type="dxa"/>
            <w:right w:w="0" w:type="dxa"/>
          </w:tblCellMar>
        </w:tblPrEx>
        <w:trPr>
          <w:trHeight w:val="31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-1.71 </w:t>
            </w:r>
          </w:p>
        </w:tc>
      </w:tr>
      <w:tr>
        <w:tblPrEx>
          <w:tblCellMar>
            <w:top w:w="0" w:type="dxa"/>
            <w:left w:w="0" w:type="dxa"/>
            <w:bottom w:w="0" w:type="dxa"/>
            <w:right w:w="0" w:type="dxa"/>
          </w:tblCellMar>
        </w:tblPrEx>
        <w:trPr>
          <w:trHeight w:val="34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r>
      <w:tr>
        <w:tblPrEx>
          <w:tblCellMar>
            <w:top w:w="0" w:type="dxa"/>
            <w:left w:w="0" w:type="dxa"/>
            <w:bottom w:w="0" w:type="dxa"/>
            <w:right w:w="0" w:type="dxa"/>
          </w:tblCellMar>
        </w:tblPrEx>
        <w:trPr>
          <w:trHeight w:val="31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r>
      <w:tr>
        <w:tblPrEx>
          <w:tblCellMar>
            <w:top w:w="0" w:type="dxa"/>
            <w:left w:w="0" w:type="dxa"/>
            <w:bottom w:w="0" w:type="dxa"/>
            <w:right w:w="0" w:type="dxa"/>
          </w:tblCellMar>
        </w:tblPrEx>
        <w:trPr>
          <w:trHeight w:val="30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39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r>
      <w:tr>
        <w:tblPrEx>
          <w:tblCellMar>
            <w:top w:w="0" w:type="dxa"/>
            <w:left w:w="0" w:type="dxa"/>
            <w:bottom w:w="0" w:type="dxa"/>
            <w:right w:w="0" w:type="dxa"/>
          </w:tblCellMar>
        </w:tblPrEx>
        <w:trPr>
          <w:trHeight w:val="37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r>
      <w:tr>
        <w:tblPrEx>
          <w:tblCellMar>
            <w:top w:w="0" w:type="dxa"/>
            <w:left w:w="0" w:type="dxa"/>
            <w:bottom w:w="0" w:type="dxa"/>
            <w:right w:w="0" w:type="dxa"/>
          </w:tblCellMar>
        </w:tblPrEx>
        <w:trPr>
          <w:trHeight w:val="30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315"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-1.78 </w:t>
            </w:r>
          </w:p>
        </w:tc>
      </w:tr>
      <w:tr>
        <w:tblPrEx>
          <w:tblCellMar>
            <w:top w:w="0" w:type="dxa"/>
            <w:left w:w="0" w:type="dxa"/>
            <w:bottom w:w="0" w:type="dxa"/>
            <w:right w:w="0" w:type="dxa"/>
          </w:tblCellMar>
        </w:tblPrEx>
        <w:trPr>
          <w:trHeight w:val="33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-1.78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表3-5-23  南昌市城区一级公共服务用地（第三大类）宗地地价修正系数说明表</w:t>
      </w:r>
    </w:p>
    <w:tbl>
      <w:tblPr>
        <w:tblW w:w="5067" w:type="pct"/>
        <w:jc w:val="center"/>
        <w:shd w:val="clear"/>
        <w:tblLayout w:type="autofit"/>
        <w:tblCellMar>
          <w:top w:w="0" w:type="dxa"/>
          <w:left w:w="0" w:type="dxa"/>
          <w:bottom w:w="0" w:type="dxa"/>
          <w:right w:w="0" w:type="dxa"/>
        </w:tblCellMar>
      </w:tblPr>
      <w:tblGrid>
        <w:gridCol w:w="686"/>
        <w:gridCol w:w="1714"/>
        <w:gridCol w:w="1021"/>
        <w:gridCol w:w="1275"/>
        <w:gridCol w:w="1531"/>
        <w:gridCol w:w="1279"/>
        <w:gridCol w:w="1130"/>
      </w:tblGrid>
      <w:tr>
        <w:tblPrEx>
          <w:shd w:val="clear"/>
          <w:tblCellMar>
            <w:top w:w="0" w:type="dxa"/>
            <w:left w:w="0" w:type="dxa"/>
            <w:bottom w:w="0" w:type="dxa"/>
            <w:right w:w="0" w:type="dxa"/>
          </w:tblCellMar>
        </w:tblPrEx>
        <w:trPr>
          <w:trHeight w:val="345" w:hRule="atLeast"/>
          <w:jc w:val="center"/>
        </w:trPr>
        <w:tc>
          <w:tcPr>
            <w:tcW w:w="1389"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1"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38"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8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4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654"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330" w:hRule="atLeast"/>
          <w:jc w:val="center"/>
        </w:trPr>
        <w:tc>
          <w:tcPr>
            <w:tcW w:w="397"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37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201～300米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301～400米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8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3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101～300米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30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&gt;2601米</w:t>
            </w:r>
          </w:p>
        </w:tc>
      </w:tr>
      <w:tr>
        <w:tblPrEx>
          <w:tblCellMar>
            <w:top w:w="0" w:type="dxa"/>
            <w:left w:w="0" w:type="dxa"/>
            <w:bottom w:w="0" w:type="dxa"/>
            <w:right w:w="0" w:type="dxa"/>
          </w:tblCellMar>
        </w:tblPrEx>
        <w:trPr>
          <w:trHeight w:val="31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33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9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0～700米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701～1250米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1251～1800米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1801～2350米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&gt;2351米</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37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801～1400米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2001～2600米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&gt;2601米</w:t>
            </w:r>
          </w:p>
        </w:tc>
      </w:tr>
      <w:tr>
        <w:tblPrEx>
          <w:tblCellMar>
            <w:top w:w="0" w:type="dxa"/>
            <w:left w:w="0" w:type="dxa"/>
            <w:bottom w:w="0" w:type="dxa"/>
            <w:right w:w="0" w:type="dxa"/>
          </w:tblCellMar>
        </w:tblPrEx>
        <w:trPr>
          <w:trHeight w:val="33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0～1000米</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1001～2000米</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&gt;4000米</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80" w:hRule="atLeast"/>
          <w:jc w:val="center"/>
        </w:trPr>
        <w:tc>
          <w:tcPr>
            <w:tcW w:w="397"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80" w:hRule="atLeast"/>
          <w:jc w:val="center"/>
        </w:trPr>
        <w:tc>
          <w:tcPr>
            <w:tcW w:w="397"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992"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1"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38"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8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4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6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表3-5-24  南昌市城区二级公共服务用地（第三大类）宗地地价修正系数表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9300" w:type="dxa"/>
        <w:tblInd w:w="114" w:type="dxa"/>
        <w:shd w:val="clear"/>
        <w:tblLayout w:type="autofit"/>
        <w:tblCellMar>
          <w:top w:w="0" w:type="dxa"/>
          <w:left w:w="0" w:type="dxa"/>
          <w:bottom w:w="0" w:type="dxa"/>
          <w:right w:w="0" w:type="dxa"/>
        </w:tblCellMar>
      </w:tblPr>
      <w:tblGrid>
        <w:gridCol w:w="704"/>
        <w:gridCol w:w="3396"/>
        <w:gridCol w:w="1040"/>
        <w:gridCol w:w="1040"/>
        <w:gridCol w:w="1040"/>
        <w:gridCol w:w="1040"/>
        <w:gridCol w:w="1040"/>
      </w:tblGrid>
      <w:tr>
        <w:tblPrEx>
          <w:shd w:val="clear"/>
          <w:tblCellMar>
            <w:top w:w="0" w:type="dxa"/>
            <w:left w:w="0" w:type="dxa"/>
            <w:bottom w:w="0" w:type="dxa"/>
            <w:right w:w="0" w:type="dxa"/>
          </w:tblCellMar>
        </w:tblPrEx>
        <w:trPr>
          <w:trHeight w:val="450" w:hRule="atLeast"/>
        </w:trPr>
        <w:tc>
          <w:tcPr>
            <w:tcW w:w="41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391"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-1.94 </w:t>
            </w:r>
          </w:p>
        </w:tc>
      </w:tr>
      <w:tr>
        <w:tblPrEx>
          <w:tblCellMar>
            <w:top w:w="0" w:type="dxa"/>
            <w:left w:w="0" w:type="dxa"/>
            <w:bottom w:w="0" w:type="dxa"/>
            <w:right w:w="0" w:type="dxa"/>
          </w:tblCellMar>
        </w:tblPrEx>
        <w:trPr>
          <w:trHeight w:val="349"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-0.94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r>
      <w:tr>
        <w:tblPrEx>
          <w:tblCellMar>
            <w:top w:w="0" w:type="dxa"/>
            <w:left w:w="0" w:type="dxa"/>
            <w:bottom w:w="0" w:type="dxa"/>
            <w:right w:w="0" w:type="dxa"/>
          </w:tblCellMar>
        </w:tblPrEx>
        <w:trPr>
          <w:trHeight w:val="377"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r>
      <w:tr>
        <w:tblPrEx>
          <w:tblCellMar>
            <w:top w:w="0" w:type="dxa"/>
            <w:left w:w="0" w:type="dxa"/>
            <w:bottom w:w="0" w:type="dxa"/>
            <w:right w:w="0" w:type="dxa"/>
          </w:tblCellMar>
        </w:tblPrEx>
        <w:trPr>
          <w:trHeight w:val="419"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27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-1.75 </w:t>
            </w:r>
          </w:p>
        </w:tc>
      </w:tr>
    </w:tbl>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333333"/>
          <w:sz w:val="21"/>
          <w:szCs w:val="21"/>
          <w:bdr w:val="none" w:color="auto" w:sz="0" w:space="0"/>
        </w:rPr>
        <w:br w:type="page"/>
      </w:r>
      <w:r>
        <w:rPr>
          <w:rFonts w:hint="eastAsia" w:ascii="仿宋" w:hAnsi="仿宋" w:eastAsia="仿宋" w:cs="仿宋"/>
          <w:b/>
          <w:color w:val="333333"/>
          <w:sz w:val="21"/>
          <w:szCs w:val="21"/>
        </w:rPr>
        <w:t>表3-5-25 南昌市城区二级公共服务用地（第三大类）宗地地价修正系数说明表</w:t>
      </w:r>
    </w:p>
    <w:tbl>
      <w:tblPr>
        <w:tblW w:w="5000" w:type="pct"/>
        <w:tblInd w:w="0" w:type="dxa"/>
        <w:shd w:val="clear"/>
        <w:tblLayout w:type="autofit"/>
        <w:tblCellMar>
          <w:top w:w="0" w:type="dxa"/>
          <w:left w:w="0" w:type="dxa"/>
          <w:bottom w:w="0" w:type="dxa"/>
          <w:right w:w="0" w:type="dxa"/>
        </w:tblCellMar>
      </w:tblPr>
      <w:tblGrid>
        <w:gridCol w:w="683"/>
        <w:gridCol w:w="1713"/>
        <w:gridCol w:w="1023"/>
        <w:gridCol w:w="1277"/>
        <w:gridCol w:w="1532"/>
        <w:gridCol w:w="1278"/>
        <w:gridCol w:w="1016"/>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251～350米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351～450米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451～550米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201～400米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401～600米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601～800米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&gt;800米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2201～2800米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2801～3400米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&gt;3400米</w:t>
            </w:r>
          </w:p>
        </w:tc>
      </w:tr>
      <w:tr>
        <w:tblPrEx>
          <w:tblCellMar>
            <w:top w:w="0" w:type="dxa"/>
            <w:left w:w="0" w:type="dxa"/>
            <w:bottom w:w="0" w:type="dxa"/>
            <w:right w:w="0" w:type="dxa"/>
          </w:tblCellMar>
        </w:tblPrEx>
        <w:trPr>
          <w:trHeight w:val="263"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0～1400米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1401～2050米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2051～2700米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2701～3350米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&gt;3350米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2001～3000米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&gt;5000米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表3-5-26南昌市城区三级公共服务用地（第三大类）宗地地价修正系数表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5000" w:type="pct"/>
        <w:tblInd w:w="0" w:type="dxa"/>
        <w:shd w:val="clear"/>
        <w:tblLayout w:type="autofit"/>
        <w:tblCellMar>
          <w:top w:w="0" w:type="dxa"/>
          <w:left w:w="0" w:type="dxa"/>
          <w:bottom w:w="0" w:type="dxa"/>
          <w:right w:w="0" w:type="dxa"/>
        </w:tblCellMar>
      </w:tblPr>
      <w:tblGrid>
        <w:gridCol w:w="644"/>
        <w:gridCol w:w="3113"/>
        <w:gridCol w:w="953"/>
        <w:gridCol w:w="953"/>
        <w:gridCol w:w="953"/>
        <w:gridCol w:w="953"/>
        <w:gridCol w:w="953"/>
      </w:tblGrid>
      <w:tr>
        <w:tblPrEx>
          <w:shd w:val="clear"/>
          <w:tblCellMar>
            <w:top w:w="0" w:type="dxa"/>
            <w:left w:w="0" w:type="dxa"/>
            <w:bottom w:w="0" w:type="dxa"/>
            <w:right w:w="0" w:type="dxa"/>
          </w:tblCellMar>
        </w:tblPrEx>
        <w:trPr>
          <w:trHeight w:val="540" w:hRule="atLeast"/>
        </w:trPr>
        <w:tc>
          <w:tcPr>
            <w:tcW w:w="2204" w:type="pct"/>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5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5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5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5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55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11" w:hRule="atLeast"/>
        </w:trPr>
        <w:tc>
          <w:tcPr>
            <w:tcW w:w="37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1.86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-1.81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1.87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-1.82 </w:t>
            </w:r>
          </w:p>
        </w:tc>
      </w:tr>
      <w:tr>
        <w:tblPrEx>
          <w:tblCellMar>
            <w:top w:w="0" w:type="dxa"/>
            <w:left w:w="0" w:type="dxa"/>
            <w:bottom w:w="0" w:type="dxa"/>
            <w:right w:w="0" w:type="dxa"/>
          </w:tblCellMar>
        </w:tblPrEx>
        <w:trPr>
          <w:trHeight w:val="355"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r>
      <w:tr>
        <w:tblPrEx>
          <w:tblCellMar>
            <w:top w:w="0" w:type="dxa"/>
            <w:left w:w="0" w:type="dxa"/>
            <w:bottom w:w="0" w:type="dxa"/>
            <w:right w:w="0" w:type="dxa"/>
          </w:tblCellMar>
        </w:tblPrEx>
        <w:trPr>
          <w:trHeight w:val="27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-0.83 </w:t>
            </w:r>
          </w:p>
        </w:tc>
      </w:tr>
      <w:tr>
        <w:tblPrEx>
          <w:tblCellMar>
            <w:top w:w="0" w:type="dxa"/>
            <w:left w:w="0" w:type="dxa"/>
            <w:bottom w:w="0" w:type="dxa"/>
            <w:right w:w="0" w:type="dxa"/>
          </w:tblCellMar>
        </w:tblPrEx>
        <w:trPr>
          <w:trHeight w:val="27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r>
      <w:tr>
        <w:tblPrEx>
          <w:tblCellMar>
            <w:top w:w="0" w:type="dxa"/>
            <w:left w:w="0" w:type="dxa"/>
            <w:bottom w:w="0" w:type="dxa"/>
            <w:right w:w="0" w:type="dxa"/>
          </w:tblCellMar>
        </w:tblPrEx>
        <w:trPr>
          <w:trHeight w:val="27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r>
      <w:tr>
        <w:tblPrEx>
          <w:tblCellMar>
            <w:top w:w="0" w:type="dxa"/>
            <w:left w:w="0" w:type="dxa"/>
            <w:bottom w:w="0" w:type="dxa"/>
            <w:right w:w="0" w:type="dxa"/>
          </w:tblCellMar>
        </w:tblPrEx>
        <w:trPr>
          <w:trHeight w:val="368"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0.67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-0.65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r>
      <w:tr>
        <w:tblPrEx>
          <w:tblCellMar>
            <w:top w:w="0" w:type="dxa"/>
            <w:left w:w="0" w:type="dxa"/>
            <w:bottom w:w="0" w:type="dxa"/>
            <w:right w:w="0" w:type="dxa"/>
          </w:tblCellMar>
        </w:tblPrEx>
        <w:trPr>
          <w:trHeight w:val="296"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-1.40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0.91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-0.88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r>
      <w:tr>
        <w:tblPrEx>
          <w:tblCellMar>
            <w:top w:w="0" w:type="dxa"/>
            <w:left w:w="0" w:type="dxa"/>
            <w:bottom w:w="0" w:type="dxa"/>
            <w:right w:w="0" w:type="dxa"/>
          </w:tblCellMar>
        </w:tblPrEx>
        <w:trPr>
          <w:trHeight w:val="27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0.10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-0.09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r>
      <w:tr>
        <w:tblPrEx>
          <w:tblCellMar>
            <w:top w:w="0" w:type="dxa"/>
            <w:left w:w="0" w:type="dxa"/>
            <w:bottom w:w="0" w:type="dxa"/>
            <w:right w:w="0" w:type="dxa"/>
          </w:tblCellMar>
        </w:tblPrEx>
        <w:trPr>
          <w:trHeight w:val="270" w:hRule="atLeast"/>
        </w:trPr>
        <w:tc>
          <w:tcPr>
            <w:tcW w:w="378"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r>
      <w:tr>
        <w:tblPrEx>
          <w:tblCellMar>
            <w:top w:w="0" w:type="dxa"/>
            <w:left w:w="0" w:type="dxa"/>
            <w:bottom w:w="0" w:type="dxa"/>
            <w:right w:w="0" w:type="dxa"/>
          </w:tblCellMar>
        </w:tblPrEx>
        <w:trPr>
          <w:trHeight w:val="270" w:hRule="atLeast"/>
        </w:trPr>
        <w:tc>
          <w:tcPr>
            <w:tcW w:w="378"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82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1.68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0.84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55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-1.64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表3-5-27 南昌市城区三级公共服务用地（第三大类）宗地地价修正系数说明表</w:t>
      </w:r>
    </w:p>
    <w:tbl>
      <w:tblPr>
        <w:tblW w:w="5000" w:type="pct"/>
        <w:tblInd w:w="0" w:type="dxa"/>
        <w:shd w:val="clear"/>
        <w:tblLayout w:type="autofit"/>
        <w:tblCellMar>
          <w:top w:w="0" w:type="dxa"/>
          <w:left w:w="0" w:type="dxa"/>
          <w:bottom w:w="0" w:type="dxa"/>
          <w:right w:w="0" w:type="dxa"/>
        </w:tblCellMar>
      </w:tblPr>
      <w:tblGrid>
        <w:gridCol w:w="683"/>
        <w:gridCol w:w="1713"/>
        <w:gridCol w:w="1023"/>
        <w:gridCol w:w="1277"/>
        <w:gridCol w:w="1532"/>
        <w:gridCol w:w="1278"/>
        <w:gridCol w:w="1016"/>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60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8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59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451～650米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&gt;1050米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801～1100米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1101～1500米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3001～4000米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4001～5000米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5001～6000米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&gt;6000米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2501～3150米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3151～3800米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3801～4450米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&gt;4450米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2001～2700米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2701～3400米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3401～4100米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&gt;4100米</w:t>
            </w:r>
          </w:p>
        </w:tc>
      </w:tr>
      <w:tr>
        <w:tblPrEx>
          <w:tblCellMar>
            <w:top w:w="0" w:type="dxa"/>
            <w:left w:w="0" w:type="dxa"/>
            <w:bottom w:w="0" w:type="dxa"/>
            <w:right w:w="0" w:type="dxa"/>
          </w:tblCellMar>
        </w:tblPrEx>
        <w:trPr>
          <w:trHeight w:val="28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2501～3500米</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&gt;5500米</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1"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1"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60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8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59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both"/>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240" w:lineRule="auto"/>
        <w:ind w:left="0" w:right="0" w:firstLine="0"/>
        <w:jc w:val="both"/>
        <w:rPr>
          <w:rFonts w:hint="default" w:ascii="Calibri" w:hAnsi="Calibri" w:cs="Calibri"/>
          <w:sz w:val="21"/>
          <w:szCs w:val="21"/>
        </w:rPr>
      </w:pPr>
      <w:r>
        <w:rPr>
          <w:rFonts w:hint="eastAsia" w:ascii="仿宋" w:hAnsi="仿宋" w:eastAsia="仿宋" w:cs="仿宋"/>
          <w:b/>
          <w:color w:val="333333"/>
          <w:sz w:val="21"/>
          <w:szCs w:val="21"/>
        </w:rPr>
        <w:t>      表3-5-28 南昌市城区四级公共服务用地（第三大类）宗地地价修正系数表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9300" w:type="dxa"/>
        <w:tblInd w:w="114" w:type="dxa"/>
        <w:shd w:val="clear"/>
        <w:tblLayout w:type="autofit"/>
        <w:tblCellMar>
          <w:top w:w="0" w:type="dxa"/>
          <w:left w:w="0" w:type="dxa"/>
          <w:bottom w:w="0" w:type="dxa"/>
          <w:right w:w="0" w:type="dxa"/>
        </w:tblCellMar>
      </w:tblPr>
      <w:tblGrid>
        <w:gridCol w:w="704"/>
        <w:gridCol w:w="3396"/>
        <w:gridCol w:w="1040"/>
        <w:gridCol w:w="1040"/>
        <w:gridCol w:w="1040"/>
        <w:gridCol w:w="1040"/>
        <w:gridCol w:w="1040"/>
      </w:tblGrid>
      <w:tr>
        <w:tblPrEx>
          <w:shd w:val="clear"/>
          <w:tblCellMar>
            <w:top w:w="0" w:type="dxa"/>
            <w:left w:w="0" w:type="dxa"/>
            <w:bottom w:w="0" w:type="dxa"/>
            <w:right w:w="0" w:type="dxa"/>
          </w:tblCellMar>
        </w:tblPrEx>
        <w:trPr>
          <w:trHeight w:val="540" w:hRule="atLeast"/>
        </w:trPr>
        <w:tc>
          <w:tcPr>
            <w:tcW w:w="41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11"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-0.80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-1.60 </w:t>
            </w:r>
          </w:p>
        </w:tc>
      </w:tr>
      <w:tr>
        <w:tblPrEx>
          <w:tblCellMar>
            <w:top w:w="0" w:type="dxa"/>
            <w:left w:w="0" w:type="dxa"/>
            <w:bottom w:w="0" w:type="dxa"/>
            <w:right w:w="0" w:type="dxa"/>
          </w:tblCellMar>
        </w:tblPrEx>
        <w:trPr>
          <w:trHeight w:val="35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-0.50 </w:t>
            </w:r>
          </w:p>
        </w:tc>
      </w:tr>
      <w:tr>
        <w:tblPrEx>
          <w:tblCellMar>
            <w:top w:w="0" w:type="dxa"/>
            <w:left w:w="0" w:type="dxa"/>
            <w:bottom w:w="0" w:type="dxa"/>
            <w:right w:w="0" w:type="dxa"/>
          </w:tblCellMar>
        </w:tblPrEx>
        <w:trPr>
          <w:trHeight w:val="368"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r>
      <w:tr>
        <w:tblPrEx>
          <w:tblCellMar>
            <w:top w:w="0" w:type="dxa"/>
            <w:left w:w="0" w:type="dxa"/>
            <w:bottom w:w="0" w:type="dxa"/>
            <w:right w:w="0" w:type="dxa"/>
          </w:tblCellMar>
        </w:tblPrEx>
        <w:trPr>
          <w:trHeight w:val="427"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-0.78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r>
      <w:tr>
        <w:tblPrEx>
          <w:tblCellMar>
            <w:top w:w="0" w:type="dxa"/>
            <w:left w:w="0" w:type="dxa"/>
            <w:bottom w:w="0" w:type="dxa"/>
            <w:right w:w="0" w:type="dxa"/>
          </w:tblCellMar>
        </w:tblPrEx>
        <w:trPr>
          <w:trHeight w:val="399"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r>
      <w:tr>
        <w:tblPrEx>
          <w:tblCellMar>
            <w:top w:w="0" w:type="dxa"/>
            <w:left w:w="0" w:type="dxa"/>
            <w:bottom w:w="0" w:type="dxa"/>
            <w:right w:w="0" w:type="dxa"/>
          </w:tblCellMar>
        </w:tblPrEx>
        <w:trPr>
          <w:trHeight w:val="27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-1.44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-1.44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表3-5-29南昌市城区四级公共服务用地（第三大类）宗地地价修正系数说明表</w:t>
      </w:r>
    </w:p>
    <w:tbl>
      <w:tblPr>
        <w:tblW w:w="5000" w:type="pct"/>
        <w:tblInd w:w="0" w:type="dxa"/>
        <w:shd w:val="clear"/>
        <w:tblLayout w:type="autofit"/>
        <w:tblCellMar>
          <w:top w:w="0" w:type="dxa"/>
          <w:left w:w="0" w:type="dxa"/>
          <w:bottom w:w="0" w:type="dxa"/>
          <w:right w:w="0" w:type="dxa"/>
        </w:tblCellMar>
      </w:tblPr>
      <w:tblGrid>
        <w:gridCol w:w="687"/>
        <w:gridCol w:w="1711"/>
        <w:gridCol w:w="1021"/>
        <w:gridCol w:w="1277"/>
        <w:gridCol w:w="1278"/>
        <w:gridCol w:w="1277"/>
        <w:gridCol w:w="1271"/>
      </w:tblGrid>
      <w:tr>
        <w:tblPrEx>
          <w:shd w:val="clear"/>
          <w:tblCellMar>
            <w:top w:w="0" w:type="dxa"/>
            <w:left w:w="0" w:type="dxa"/>
            <w:bottom w:w="0" w:type="dxa"/>
            <w:right w:w="0" w:type="dxa"/>
          </w:tblCellMar>
        </w:tblPrEx>
        <w:trPr>
          <w:trHeight w:val="285" w:hRule="atLeast"/>
        </w:trPr>
        <w:tc>
          <w:tcPr>
            <w:tcW w:w="1407"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5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4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74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403"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0～550米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551～750米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751～950米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951～1150米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&gt;1150米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601～1000米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1001～1500米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1501～2000米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&gt;2000米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0～3400米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3401～4200米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4201～4900米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4901～5600米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0～2600米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2601～3350米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3351～4100米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4101～4850米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&gt;4850米</w:t>
            </w:r>
          </w:p>
        </w:tc>
      </w:tr>
      <w:tr>
        <w:tblPrEx>
          <w:tblCellMar>
            <w:top w:w="0" w:type="dxa"/>
            <w:left w:w="0" w:type="dxa"/>
            <w:bottom w:w="0" w:type="dxa"/>
            <w:right w:w="0" w:type="dxa"/>
          </w:tblCellMar>
        </w:tblPrEx>
        <w:trPr>
          <w:trHeight w:val="28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3501～4500米</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&gt;6500米</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403"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403"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0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5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4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74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rPr>
        <w:t> </w:t>
      </w:r>
    </w:p>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表3-5-30 南昌市城区五级公共服务用地（第三大类）宗地地价修正系数表</w:t>
      </w:r>
    </w:p>
    <w:p>
      <w:pPr>
        <w:pStyle w:val="4"/>
        <w:keepNext w:val="0"/>
        <w:keepLines w:val="0"/>
        <w:widowControl/>
        <w:suppressLineNumbers w:val="0"/>
        <w:spacing w:before="0" w:beforeAutospacing="0" w:after="0" w:afterAutospacing="0" w:line="440" w:lineRule="atLeast"/>
        <w:ind w:left="0" w:right="0" w:firstLine="482"/>
        <w:jc w:val="right"/>
        <w:rPr>
          <w:rFonts w:hint="default" w:ascii="Calibri" w:hAnsi="Calibri" w:cs="Calibri"/>
          <w:sz w:val="21"/>
          <w:szCs w:val="21"/>
        </w:rPr>
      </w:pPr>
      <w:r>
        <w:rPr>
          <w:rFonts w:hint="eastAsia" w:ascii="仿宋" w:hAnsi="仿宋" w:eastAsia="仿宋" w:cs="仿宋"/>
          <w:b/>
          <w:color w:val="333333"/>
          <w:sz w:val="24"/>
          <w:szCs w:val="24"/>
        </w:rPr>
        <w:t>单位：%</w:t>
      </w:r>
    </w:p>
    <w:tbl>
      <w:tblPr>
        <w:tblW w:w="9300" w:type="dxa"/>
        <w:tblInd w:w="114" w:type="dxa"/>
        <w:shd w:val="clear"/>
        <w:tblLayout w:type="autofit"/>
        <w:tblCellMar>
          <w:top w:w="0" w:type="dxa"/>
          <w:left w:w="0" w:type="dxa"/>
          <w:bottom w:w="0" w:type="dxa"/>
          <w:right w:w="0" w:type="dxa"/>
        </w:tblCellMar>
      </w:tblPr>
      <w:tblGrid>
        <w:gridCol w:w="704"/>
        <w:gridCol w:w="3396"/>
        <w:gridCol w:w="1040"/>
        <w:gridCol w:w="1040"/>
        <w:gridCol w:w="1040"/>
        <w:gridCol w:w="1040"/>
        <w:gridCol w:w="1040"/>
      </w:tblGrid>
      <w:tr>
        <w:tblPrEx>
          <w:shd w:val="clear"/>
          <w:tblCellMar>
            <w:top w:w="0" w:type="dxa"/>
            <w:left w:w="0" w:type="dxa"/>
            <w:bottom w:w="0" w:type="dxa"/>
            <w:right w:w="0" w:type="dxa"/>
          </w:tblCellMar>
        </w:tblPrEx>
        <w:trPr>
          <w:trHeight w:val="540" w:hRule="atLeast"/>
        </w:trPr>
        <w:tc>
          <w:tcPr>
            <w:tcW w:w="410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修正因素</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较优</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一般</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较劣</w:t>
            </w:r>
          </w:p>
        </w:tc>
        <w:tc>
          <w:tcPr>
            <w:tcW w:w="10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21"/>
                <w:szCs w:val="21"/>
              </w:rPr>
              <w:t>劣</w:t>
            </w:r>
          </w:p>
        </w:tc>
      </w:tr>
      <w:tr>
        <w:tblPrEx>
          <w:tblCellMar>
            <w:top w:w="0" w:type="dxa"/>
            <w:left w:w="0" w:type="dxa"/>
            <w:bottom w:w="0" w:type="dxa"/>
            <w:right w:w="0" w:type="dxa"/>
          </w:tblCellMar>
        </w:tblPrEx>
        <w:trPr>
          <w:trHeight w:val="435"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距科教、新闻出版中心距离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距机关团体、教育、文化、卫生中心距离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-1.51 </w:t>
            </w:r>
          </w:p>
        </w:tc>
      </w:tr>
      <w:tr>
        <w:tblPrEx>
          <w:tblCellMar>
            <w:top w:w="0" w:type="dxa"/>
            <w:left w:w="0" w:type="dxa"/>
            <w:bottom w:w="0" w:type="dxa"/>
            <w:right w:w="0" w:type="dxa"/>
          </w:tblCellMar>
        </w:tblPrEx>
        <w:trPr>
          <w:trHeight w:val="422"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距福利、休闲、体育中心距离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-1.31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道路通达度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-1.31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距公交站距离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-0.69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36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距火车站、汽车、机场距离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-0.47 </w:t>
            </w:r>
          </w:p>
        </w:tc>
      </w:tr>
      <w:tr>
        <w:tblPrEx>
          <w:tblCellMar>
            <w:top w:w="0" w:type="dxa"/>
            <w:left w:w="0" w:type="dxa"/>
            <w:bottom w:w="0" w:type="dxa"/>
            <w:right w:w="0" w:type="dxa"/>
          </w:tblCellMar>
        </w:tblPrEx>
        <w:trPr>
          <w:trHeight w:val="39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距高速路口距离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区域排水设施状况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-0.52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区域供电设施状况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区域供气设施状况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0.23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-0.44 </w:t>
            </w:r>
          </w:p>
        </w:tc>
      </w:tr>
      <w:tr>
        <w:tblPrEx>
          <w:tblCellMar>
            <w:top w:w="0" w:type="dxa"/>
            <w:left w:w="0" w:type="dxa"/>
            <w:bottom w:w="0" w:type="dxa"/>
            <w:right w:w="0" w:type="dxa"/>
          </w:tblCellMar>
        </w:tblPrEx>
        <w:trPr>
          <w:trHeight w:val="295"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距离商务繁华中心距离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-1.16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常住人口密度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流动人口密度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-0.58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距规划地铁站距离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规划火车站距离</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-0.33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规划功能区</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0.40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-0.19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空气质量</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0.30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-0.14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-0.29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植被覆盖度</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人文景观</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-0.07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-0.14 </w:t>
            </w:r>
          </w:p>
        </w:tc>
      </w:tr>
      <w:tr>
        <w:tblPrEx>
          <w:tblCellMar>
            <w:top w:w="0" w:type="dxa"/>
            <w:left w:w="0" w:type="dxa"/>
            <w:bottom w:w="0" w:type="dxa"/>
            <w:right w:w="0" w:type="dxa"/>
          </w:tblCellMar>
        </w:tblPrEx>
        <w:trPr>
          <w:trHeight w:val="51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治安状况</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（定级分值）</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0.16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-0.08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-0.15 </w:t>
            </w:r>
          </w:p>
        </w:tc>
      </w:tr>
      <w:tr>
        <w:tblPrEx>
          <w:tblCellMar>
            <w:top w:w="0" w:type="dxa"/>
            <w:left w:w="0" w:type="dxa"/>
            <w:bottom w:w="0" w:type="dxa"/>
            <w:right w:w="0" w:type="dxa"/>
          </w:tblCellMar>
        </w:tblPrEx>
        <w:trPr>
          <w:trHeight w:val="270" w:hRule="atLeast"/>
        </w:trPr>
        <w:tc>
          <w:tcPr>
            <w:tcW w:w="7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个别因素</w:t>
            </w: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宗地面积</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-1.36 </w:t>
            </w:r>
          </w:p>
        </w:tc>
      </w:tr>
      <w:tr>
        <w:tblPrEx>
          <w:tblCellMar>
            <w:top w:w="0" w:type="dxa"/>
            <w:left w:w="0" w:type="dxa"/>
            <w:bottom w:w="0" w:type="dxa"/>
            <w:right w:w="0" w:type="dxa"/>
          </w:tblCellMar>
        </w:tblPrEx>
        <w:trPr>
          <w:trHeight w:val="270" w:hRule="atLeast"/>
        </w:trPr>
        <w:tc>
          <w:tcPr>
            <w:tcW w:w="7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3396"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宗地形状</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1.42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0.71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0</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-0.68 </w:t>
            </w:r>
          </w:p>
        </w:tc>
        <w:tc>
          <w:tcPr>
            <w:tcW w:w="1040"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21"/>
                <w:szCs w:val="21"/>
              </w:rPr>
              <w:t xml:space="preserve">-1.36 </w:t>
            </w:r>
          </w:p>
        </w:tc>
      </w:tr>
    </w:tbl>
    <w:p>
      <w:pPr>
        <w:pStyle w:val="4"/>
        <w:keepNext w:val="0"/>
        <w:keepLines w:val="0"/>
        <w:widowControl/>
        <w:suppressLineNumbers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b/>
          <w:color w:val="333333"/>
          <w:sz w:val="21"/>
          <w:szCs w:val="21"/>
        </w:rPr>
        <w:t>表3-5-31南昌市城区五级公共服务用地（第三大类）宗地地价修正系数说明表</w:t>
      </w:r>
    </w:p>
    <w:tbl>
      <w:tblPr>
        <w:tblW w:w="5000" w:type="pct"/>
        <w:tblInd w:w="0" w:type="dxa"/>
        <w:shd w:val="clear"/>
        <w:tblLayout w:type="autofit"/>
        <w:tblCellMar>
          <w:top w:w="0" w:type="dxa"/>
          <w:left w:w="0" w:type="dxa"/>
          <w:bottom w:w="0" w:type="dxa"/>
          <w:right w:w="0" w:type="dxa"/>
        </w:tblCellMar>
      </w:tblPr>
      <w:tblGrid>
        <w:gridCol w:w="600"/>
        <w:gridCol w:w="1797"/>
        <w:gridCol w:w="1021"/>
        <w:gridCol w:w="1323"/>
        <w:gridCol w:w="1284"/>
        <w:gridCol w:w="1355"/>
        <w:gridCol w:w="1142"/>
      </w:tblGrid>
      <w:tr>
        <w:tblPrEx>
          <w:shd w:val="clear"/>
          <w:tblCellMar>
            <w:top w:w="0" w:type="dxa"/>
            <w:left w:w="0" w:type="dxa"/>
            <w:bottom w:w="0" w:type="dxa"/>
            <w:right w:w="0" w:type="dxa"/>
          </w:tblCellMar>
        </w:tblPrEx>
        <w:trPr>
          <w:trHeight w:val="285" w:hRule="atLeast"/>
        </w:trPr>
        <w:tc>
          <w:tcPr>
            <w:tcW w:w="1406" w:type="pct"/>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修正因素</w:t>
            </w:r>
          </w:p>
        </w:tc>
        <w:tc>
          <w:tcPr>
            <w:tcW w:w="599"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优</w:t>
            </w:r>
          </w:p>
        </w:tc>
        <w:tc>
          <w:tcPr>
            <w:tcW w:w="776"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较优</w:t>
            </w:r>
          </w:p>
        </w:tc>
        <w:tc>
          <w:tcPr>
            <w:tcW w:w="753"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一般</w:t>
            </w:r>
          </w:p>
        </w:tc>
        <w:tc>
          <w:tcPr>
            <w:tcW w:w="795"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较劣</w:t>
            </w:r>
          </w:p>
        </w:tc>
        <w:tc>
          <w:tcPr>
            <w:tcW w:w="670" w:type="pc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b/>
                <w:color w:val="000000"/>
                <w:sz w:val="18"/>
                <w:szCs w:val="18"/>
              </w:rPr>
              <w:t>劣</w:t>
            </w:r>
          </w:p>
        </w:tc>
      </w:tr>
      <w:tr>
        <w:tblPrEx>
          <w:tblCellMar>
            <w:top w:w="0" w:type="dxa"/>
            <w:left w:w="0" w:type="dxa"/>
            <w:bottom w:w="0" w:type="dxa"/>
            <w:right w:w="0" w:type="dxa"/>
          </w:tblCellMar>
        </w:tblPrEx>
        <w:trPr>
          <w:trHeight w:val="285" w:hRule="atLeast"/>
        </w:trPr>
        <w:tc>
          <w:tcPr>
            <w:tcW w:w="35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区域因素</w:t>
            </w: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距科教、新闻出版中心距离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距机关团体、教育、文化、卫生中心距离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0～650米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651～850米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851～1050米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1051～1350米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&gt;1350米</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距福利、休闲、体育中心距离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0～800米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801～1200米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1201～1600米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1601～2200米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&gt;2200米</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道路通达度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距公交站距离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301～500米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501～800米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801～1500米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&gt;1500米</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距火车站、汽车、机场距离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距高速路口距离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0～4300米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4301～5050米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5051～5800米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5801～6550米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&gt;6550米</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区域排水设施状况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区域供电设施状况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区域供气设施状况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距离商务繁华中心距离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常住人口密度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流动人口密度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距规划地铁站距离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0～3200米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3201～4000米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4001～4800米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4801～5600米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&gt;5600米</w:t>
            </w:r>
          </w:p>
        </w:tc>
      </w:tr>
      <w:tr>
        <w:tblPrEx>
          <w:tblCellMar>
            <w:top w:w="0" w:type="dxa"/>
            <w:left w:w="0" w:type="dxa"/>
            <w:bottom w:w="0" w:type="dxa"/>
            <w:right w:w="0" w:type="dxa"/>
          </w:tblCellMar>
        </w:tblPrEx>
        <w:trPr>
          <w:trHeight w:val="28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规划火车站距离</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0～4500米</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4501～5500米</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5501～6500米</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6501～7500米</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&gt;7500米</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规划功能区</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空气质量</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植被覆盖度</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人文景观</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52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治安状况</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（定级分值）</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80—100</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60—80</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40—60</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20—40</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0—20</w:t>
            </w:r>
          </w:p>
        </w:tc>
      </w:tr>
      <w:tr>
        <w:tblPrEx>
          <w:tblCellMar>
            <w:top w:w="0" w:type="dxa"/>
            <w:left w:w="0" w:type="dxa"/>
            <w:bottom w:w="0" w:type="dxa"/>
            <w:right w:w="0" w:type="dxa"/>
          </w:tblCellMar>
        </w:tblPrEx>
        <w:trPr>
          <w:trHeight w:val="1035" w:hRule="atLeast"/>
        </w:trPr>
        <w:tc>
          <w:tcPr>
            <w:tcW w:w="352" w:type="pct"/>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个别因素</w:t>
            </w: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宗地面积</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面积适中，对土地利用极为有利</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面积对土地利用无不良影响</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面积较小或较大，对土地利用有一定影响</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面积过小或过大，对土地利用产生严重的影响</w:t>
            </w:r>
          </w:p>
        </w:tc>
      </w:tr>
      <w:tr>
        <w:tblPrEx>
          <w:tblCellMar>
            <w:top w:w="0" w:type="dxa"/>
            <w:left w:w="0" w:type="dxa"/>
            <w:bottom w:w="0" w:type="dxa"/>
            <w:right w:w="0" w:type="dxa"/>
          </w:tblCellMar>
        </w:tblPrEx>
        <w:trPr>
          <w:trHeight w:val="1035" w:hRule="atLeast"/>
        </w:trPr>
        <w:tc>
          <w:tcPr>
            <w:tcW w:w="352" w:type="pct"/>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left"/>
              <w:rPr>
                <w:rFonts w:hint="eastAsia" w:ascii="微软雅黑" w:hAnsi="微软雅黑" w:eastAsia="微软雅黑" w:cs="微软雅黑"/>
                <w:color w:val="333333"/>
                <w:sz w:val="24"/>
                <w:szCs w:val="24"/>
              </w:rPr>
            </w:pPr>
          </w:p>
        </w:tc>
        <w:tc>
          <w:tcPr>
            <w:tcW w:w="1054"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宗地形状</w:t>
            </w:r>
          </w:p>
        </w:tc>
        <w:tc>
          <w:tcPr>
            <w:tcW w:w="599"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形状规则，对土地利用极为有利</w:t>
            </w:r>
          </w:p>
        </w:tc>
        <w:tc>
          <w:tcPr>
            <w:tcW w:w="776"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形状较规则，对土地利用较为有利</w:t>
            </w:r>
          </w:p>
        </w:tc>
        <w:tc>
          <w:tcPr>
            <w:tcW w:w="753"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形状对土地利用无不良影响</w:t>
            </w:r>
          </w:p>
        </w:tc>
        <w:tc>
          <w:tcPr>
            <w:tcW w:w="795"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形状不规则，对土地利用有一定影响</w:t>
            </w:r>
          </w:p>
        </w:tc>
        <w:tc>
          <w:tcPr>
            <w:tcW w:w="670" w:type="pc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spacing w:before="0" w:beforeAutospacing="0" w:after="0" w:afterAutospacing="0" w:line="240" w:lineRule="auto"/>
              <w:ind w:left="0" w:right="0" w:firstLine="0"/>
              <w:jc w:val="center"/>
              <w:rPr>
                <w:rFonts w:hint="default" w:ascii="Calibri" w:hAnsi="Calibri" w:cs="Calibri"/>
                <w:sz w:val="21"/>
                <w:szCs w:val="21"/>
              </w:rPr>
            </w:pPr>
            <w:r>
              <w:rPr>
                <w:rFonts w:hint="eastAsia" w:ascii="仿宋" w:hAnsi="仿宋" w:eastAsia="仿宋" w:cs="仿宋"/>
                <w:color w:val="000000"/>
                <w:sz w:val="18"/>
                <w:szCs w:val="18"/>
              </w:rPr>
              <w:t>形状较差，对土地利用产生严重的影响</w:t>
            </w:r>
          </w:p>
        </w:tc>
      </w:tr>
    </w:tbl>
    <w:p>
      <w:pPr>
        <w:pStyle w:val="4"/>
        <w:keepNext w:val="0"/>
        <w:keepLines w:val="0"/>
        <w:widowControl/>
        <w:suppressLineNumbers w:val="0"/>
        <w:spacing w:before="156" w:beforeAutospacing="0" w:after="156" w:afterAutospacing="0" w:line="360" w:lineRule="auto"/>
        <w:ind w:left="0" w:right="0" w:firstLine="0"/>
        <w:jc w:val="both"/>
        <w:rPr>
          <w:rFonts w:hint="default" w:ascii="Calibri" w:hAnsi="Calibri" w:cs="Calibri"/>
          <w:sz w:val="21"/>
          <w:szCs w:val="21"/>
        </w:rPr>
      </w:pPr>
      <w:r>
        <w:rPr>
          <w:rFonts w:hint="eastAsia" w:ascii="仿宋" w:hAnsi="仿宋" w:eastAsia="仿宋" w:cs="仿宋"/>
          <w:b/>
          <w:color w:val="333333"/>
          <w:sz w:val="21"/>
          <w:szCs w:val="21"/>
          <w:bdr w:val="none" w:color="auto" w:sz="0" w:space="0"/>
        </w:rPr>
        <w:br w:type="page"/>
      </w:r>
      <w:r>
        <w:rPr>
          <w:rFonts w:hint="eastAsia" w:ascii="仿宋" w:hAnsi="仿宋" w:eastAsia="仿宋" w:cs="仿宋"/>
          <w:color w:val="333333"/>
          <w:sz w:val="24"/>
          <w:szCs w:val="24"/>
        </w:rPr>
        <w:t>（二）公共服务用地宗地地价其他因素修正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1、使用年限修正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我国实行有偿、有期限、有流动的土地使用制度，因此土地使用期限的长短直接影响地价的高低。公共服务用地土地使用权法定最高出让年限为50年，土地还原利率按不同年限实际求取，根据公式：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rPr>
        <w:t> </w:t>
      </w:r>
      <w:r>
        <w:rPr>
          <w:rFonts w:hint="eastAsia" w:ascii="仿宋" w:hAnsi="仿宋" w:eastAsia="仿宋" w:cs="仿宋"/>
          <w:color w:val="333333"/>
          <w:sz w:val="24"/>
          <w:szCs w:val="24"/>
          <w:bdr w:val="none" w:color="auto" w:sz="0" w:space="0"/>
        </w:rPr>
        <w:drawing>
          <wp:inline distT="0" distB="0" distL="114300" distR="114300">
            <wp:extent cx="1685925" cy="962025"/>
            <wp:effectExtent l="0" t="0" r="9525" b="8890"/>
            <wp:docPr id="86" name="图片 80" descr="IMG_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0" descr="IMG_335"/>
                    <pic:cNvPicPr>
                      <a:picLocks noChangeAspect="1"/>
                    </pic:cNvPicPr>
                  </pic:nvPicPr>
                  <pic:blipFill>
                    <a:blip r:embed="rId35"/>
                    <a:stretch>
                      <a:fillRect/>
                    </a:stretch>
                  </pic:blipFill>
                  <pic:spPr>
                    <a:xfrm>
                      <a:off x="0" y="0"/>
                      <a:ext cx="168592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可得修正系数公式：</w:t>
      </w:r>
    </w:p>
    <w:p>
      <w:pPr>
        <w:pStyle w:val="4"/>
        <w:keepNext w:val="0"/>
        <w:keepLines w:val="0"/>
        <w:widowControl/>
        <w:suppressLineNumbers w:val="0"/>
        <w:spacing w:before="0" w:beforeAutospacing="0" w:after="0" w:afterAutospacing="0" w:line="240" w:lineRule="auto"/>
        <w:ind w:left="578" w:right="0" w:firstLine="0"/>
        <w:jc w:val="center"/>
        <w:rPr>
          <w:rFonts w:hint="default" w:ascii="Calibri" w:hAnsi="Calibri" w:cs="Calibri"/>
          <w:sz w:val="21"/>
          <w:szCs w:val="21"/>
        </w:rPr>
      </w:pPr>
      <w:r>
        <w:rPr>
          <w:rFonts w:hint="eastAsia" w:ascii="仿宋" w:hAnsi="仿宋" w:eastAsia="仿宋" w:cs="仿宋"/>
          <w:color w:val="333333"/>
          <w:sz w:val="24"/>
          <w:szCs w:val="24"/>
        </w:rPr>
        <w:t> </w:t>
      </w:r>
      <w:r>
        <w:rPr>
          <w:rFonts w:hint="eastAsia" w:ascii="仿宋" w:hAnsi="仿宋" w:eastAsia="仿宋" w:cs="仿宋"/>
          <w:color w:val="333333"/>
          <w:sz w:val="24"/>
          <w:szCs w:val="24"/>
          <w:bdr w:val="none" w:color="auto" w:sz="0" w:space="0"/>
        </w:rPr>
        <w:drawing>
          <wp:inline distT="0" distB="0" distL="114300" distR="114300">
            <wp:extent cx="1323975" cy="962025"/>
            <wp:effectExtent l="0" t="0" r="9525" b="8890"/>
            <wp:docPr id="34" name="图片 81" descr="IMG_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1" descr="IMG_336"/>
                    <pic:cNvPicPr>
                      <a:picLocks noChangeAspect="1"/>
                    </pic:cNvPicPr>
                  </pic:nvPicPr>
                  <pic:blipFill>
                    <a:blip r:embed="rId36"/>
                    <a:stretch>
                      <a:fillRect/>
                    </a:stretch>
                  </pic:blipFill>
                  <pic:spPr>
                    <a:xfrm>
                      <a:off x="0" y="0"/>
                      <a:ext cx="1323975" cy="9620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35" name="图片 82" descr="IMG_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2" descr="IMG_337"/>
                    <pic:cNvPicPr>
                      <a:picLocks noChangeAspect="1"/>
                    </pic:cNvPicPr>
                  </pic:nvPicPr>
                  <pic:blipFill>
                    <a:blip r:embed="rId6"/>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：—剩余土地使用权年限</w:t>
      </w:r>
    </w:p>
    <w:p>
      <w:pPr>
        <w:pStyle w:val="4"/>
        <w:keepNext w:val="0"/>
        <w:keepLines w:val="0"/>
        <w:widowControl/>
        <w:suppressLineNumbers w:val="0"/>
        <w:spacing w:before="0" w:beforeAutospacing="0" w:after="0" w:afterAutospacing="0" w:line="360" w:lineRule="auto"/>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 xml:space="preserve">      </w:t>
      </w:r>
      <w:r>
        <w:rPr>
          <w:rFonts w:hint="eastAsia" w:ascii="仿宋" w:hAnsi="仿宋" w:eastAsia="仿宋" w:cs="仿宋"/>
          <w:color w:val="333333"/>
          <w:sz w:val="24"/>
          <w:szCs w:val="24"/>
          <w:bdr w:val="none" w:color="auto" w:sz="0" w:space="0"/>
        </w:rPr>
        <w:drawing>
          <wp:inline distT="0" distB="0" distL="114300" distR="114300">
            <wp:extent cx="66675" cy="133350"/>
            <wp:effectExtent l="0" t="0" r="0" b="0"/>
            <wp:docPr id="16" name="图片 83" descr="IMG_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3" descr="IMG_338"/>
                    <pic:cNvPicPr>
                      <a:picLocks noChangeAspect="1"/>
                    </pic:cNvPicPr>
                  </pic:nvPicPr>
                  <pic:blipFill>
                    <a:blip r:embed="rId15"/>
                    <a:stretch>
                      <a:fillRect/>
                    </a:stretch>
                  </pic:blipFill>
                  <pic:spPr>
                    <a:xfrm>
                      <a:off x="0" y="0"/>
                      <a:ext cx="66675" cy="133350"/>
                    </a:xfrm>
                    <a:prstGeom prst="rect">
                      <a:avLst/>
                    </a:prstGeom>
                    <a:noFill/>
                    <a:ln w="9525">
                      <a:noFill/>
                    </a:ln>
                  </pic:spPr>
                </pic:pic>
              </a:graphicData>
            </a:graphic>
          </wp:inline>
        </w:drawing>
      </w:r>
      <w:r>
        <w:rPr>
          <w:rFonts w:hint="eastAsia" w:ascii="仿宋" w:hAnsi="仿宋" w:eastAsia="仿宋" w:cs="仿宋"/>
          <w:color w:val="333333"/>
          <w:sz w:val="24"/>
          <w:szCs w:val="24"/>
        </w:rPr>
        <w:t>：—公共服务用地土地还原利率</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2、估价期日修正</w:t>
      </w:r>
    </w:p>
    <w:p>
      <w:pPr>
        <w:pStyle w:val="4"/>
        <w:keepNext w:val="0"/>
        <w:keepLines w:val="0"/>
        <w:widowControl/>
        <w:suppressLineNumbers w:val="0"/>
        <w:spacing w:before="0" w:beforeAutospacing="0" w:after="0" w:afterAutospacing="0" w:line="360" w:lineRule="auto"/>
        <w:ind w:left="576" w:right="0" w:firstLine="560"/>
        <w:jc w:val="center"/>
        <w:textAlignment w:val="center"/>
        <w:rPr>
          <w:rFonts w:hint="default" w:ascii="Calibri" w:hAnsi="Calibri" w:cs="Calibri"/>
          <w:sz w:val="21"/>
          <w:szCs w:val="21"/>
        </w:rPr>
      </w:pPr>
      <w:r>
        <w:rPr>
          <w:rFonts w:hint="eastAsia" w:ascii="仿宋" w:hAnsi="仿宋" w:eastAsia="仿宋" w:cs="仿宋"/>
          <w:color w:val="333333"/>
          <w:sz w:val="28"/>
          <w:szCs w:val="28"/>
          <w:bdr w:val="none" w:color="auto" w:sz="0" w:space="0"/>
        </w:rPr>
        <w:drawing>
          <wp:inline distT="0" distB="0" distL="114300" distR="114300">
            <wp:extent cx="2724150" cy="466725"/>
            <wp:effectExtent l="0" t="0" r="0" b="0"/>
            <wp:docPr id="11" name="图片 84" descr="IMG_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4" descr="IMG_339"/>
                    <pic:cNvPicPr>
                      <a:picLocks noChangeAspect="1"/>
                    </pic:cNvPicPr>
                  </pic:nvPicPr>
                  <pic:blipFill>
                    <a:blip r:embed="rId15"/>
                    <a:stretch>
                      <a:fillRect/>
                    </a:stretch>
                  </pic:blipFill>
                  <pic:spPr>
                    <a:xfrm>
                      <a:off x="0" y="0"/>
                      <a:ext cx="2724150"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0"/>
        <w:jc w:val="both"/>
        <w:rPr>
          <w:rFonts w:hint="default" w:ascii="Calibri" w:hAnsi="Calibri" w:cs="Calibri"/>
          <w:sz w:val="21"/>
          <w:szCs w:val="21"/>
        </w:rPr>
      </w:pPr>
      <w:r>
        <w:rPr>
          <w:rFonts w:hint="eastAsia" w:ascii="仿宋" w:hAnsi="仿宋" w:eastAsia="仿宋" w:cs="仿宋"/>
          <w:color w:val="333333"/>
          <w:sz w:val="24"/>
          <w:szCs w:val="24"/>
        </w:rPr>
        <w:t> </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3、开发程度修正</w:t>
      </w:r>
    </w:p>
    <w:p>
      <w:pPr>
        <w:pStyle w:val="4"/>
        <w:keepNext w:val="0"/>
        <w:keepLines w:val="0"/>
        <w:widowControl/>
        <w:suppressLineNumbers w:val="0"/>
        <w:spacing w:before="0" w:beforeAutospacing="0" w:after="0" w:afterAutospacing="0" w:line="360" w:lineRule="auto"/>
        <w:ind w:left="0" w:right="0" w:firstLine="480"/>
        <w:jc w:val="left"/>
        <w:rPr>
          <w:rFonts w:hint="default" w:ascii="Calibri" w:hAnsi="Calibri" w:cs="Calibri"/>
          <w:sz w:val="21"/>
          <w:szCs w:val="21"/>
        </w:rPr>
      </w:pPr>
      <w:r>
        <w:rPr>
          <w:rFonts w:hint="eastAsia" w:ascii="仿宋" w:hAnsi="仿宋" w:eastAsia="仿宋" w:cs="仿宋"/>
          <w:color w:val="333333"/>
          <w:sz w:val="24"/>
          <w:szCs w:val="24"/>
        </w:rPr>
        <w:t>将待估宗地开发程度与基准地价评估设定的开发程度相比较，如果待估宗地开发程度高于基准地价评估设定的“五通一平”则作加价修正，如果待估宗地开发程度低于基准地价评估设定的“五通一平”则作减价修正。</w:t>
      </w:r>
    </w:p>
    <w:p>
      <w:pPr>
        <w:pStyle w:val="4"/>
        <w:keepNext/>
        <w:keepLines w:val="0"/>
        <w:widowControl/>
        <w:suppressLineNumbers w:val="0"/>
        <w:spacing w:before="0" w:beforeAutospacing="0" w:after="0" w:afterAutospacing="0" w:line="360" w:lineRule="auto"/>
        <w:ind w:left="0" w:right="0" w:firstLine="480"/>
        <w:jc w:val="both"/>
        <w:rPr>
          <w:rFonts w:hint="default" w:ascii="Calibri" w:hAnsi="Calibri" w:cs="Calibri"/>
          <w:sz w:val="21"/>
          <w:szCs w:val="21"/>
        </w:rPr>
      </w:pPr>
      <w:r>
        <w:rPr>
          <w:rFonts w:hint="eastAsia" w:ascii="仿宋" w:hAnsi="仿宋" w:eastAsia="仿宋" w:cs="仿宋"/>
          <w:color w:val="333333"/>
          <w:sz w:val="24"/>
          <w:szCs w:val="24"/>
        </w:rPr>
        <w:t>4、宗地地价评估</w:t>
      </w:r>
    </w:p>
    <w:p>
      <w:pPr>
        <w:pStyle w:val="4"/>
        <w:keepNext w:val="0"/>
        <w:keepLines w:val="0"/>
        <w:widowControl/>
        <w:suppressLineNumbers w:val="0"/>
        <w:spacing w:before="0" w:beforeAutospacing="0" w:after="0" w:afterAutospacing="0" w:line="240" w:lineRule="auto"/>
        <w:ind w:left="0" w:right="0" w:firstLine="0"/>
        <w:jc w:val="center"/>
        <w:textAlignment w:val="center"/>
        <w:rPr>
          <w:rFonts w:hint="default" w:ascii="Calibri" w:hAnsi="Calibri" w:cs="Calibri"/>
          <w:sz w:val="21"/>
          <w:szCs w:val="21"/>
        </w:rPr>
      </w:pPr>
      <w:r>
        <w:rPr>
          <w:rFonts w:hint="eastAsia" w:ascii="仿宋" w:hAnsi="仿宋" w:eastAsia="仿宋" w:cs="仿宋"/>
          <w:color w:val="333333"/>
          <w:sz w:val="24"/>
          <w:szCs w:val="24"/>
          <w:bdr w:val="none" w:color="auto" w:sz="0" w:space="0"/>
        </w:rPr>
        <w:drawing>
          <wp:inline distT="0" distB="0" distL="114300" distR="114300">
            <wp:extent cx="3095625" cy="466725"/>
            <wp:effectExtent l="0" t="0" r="9525" b="8255"/>
            <wp:docPr id="91" name="图片 85"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85" descr="IMG_340"/>
                    <pic:cNvPicPr>
                      <a:picLocks noChangeAspect="1"/>
                    </pic:cNvPicPr>
                  </pic:nvPicPr>
                  <pic:blipFill>
                    <a:blip r:embed="rId42"/>
                    <a:stretch>
                      <a:fillRect/>
                    </a:stretch>
                  </pic:blipFill>
                  <pic:spPr>
                    <a:xfrm>
                      <a:off x="0" y="0"/>
                      <a:ext cx="3095625" cy="466725"/>
                    </a:xfrm>
                    <a:prstGeom prst="rect">
                      <a:avLst/>
                    </a:prstGeom>
                    <a:noFill/>
                    <a:ln w="9525">
                      <a:noFill/>
                    </a:ln>
                  </pic:spPr>
                </pic:pic>
              </a:graphicData>
            </a:graphic>
          </wp:inline>
        </w:drawing>
      </w:r>
    </w:p>
    <w:p>
      <w:pPr>
        <w:pStyle w:val="4"/>
        <w:keepNext w:val="0"/>
        <w:keepLines w:val="0"/>
        <w:widowControl/>
        <w:suppressLineNumbers w:val="0"/>
        <w:spacing w:before="0" w:beforeAutospacing="0" w:after="0" w:afterAutospacing="0" w:line="400" w:lineRule="atLeast"/>
        <w:ind w:left="0" w:right="0" w:firstLine="480"/>
        <w:jc w:val="left"/>
        <w:textAlignment w:val="center"/>
        <w:rPr>
          <w:rFonts w:hint="default" w:ascii="Calibri" w:hAnsi="Calibri" w:cs="Calibri"/>
          <w:sz w:val="21"/>
          <w:szCs w:val="21"/>
        </w:rPr>
      </w:pPr>
      <w:r>
        <w:rPr>
          <w:rFonts w:hint="eastAsia" w:ascii="仿宋" w:hAnsi="仿宋" w:eastAsia="仿宋" w:cs="仿宋"/>
          <w:color w:val="333333"/>
          <w:sz w:val="24"/>
          <w:szCs w:val="24"/>
        </w:rPr>
        <w:t>式中，</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17" name="图片 86" descr="IMG_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6" descr="IMG_341"/>
                    <pic:cNvPicPr>
                      <a:picLocks noChangeAspect="1"/>
                    </pic:cNvPicPr>
                  </pic:nvPicPr>
                  <pic:blipFill>
                    <a:blip r:embed="rId14"/>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：区域因素修正系数，</w:t>
      </w:r>
      <w:r>
        <w:rPr>
          <w:rFonts w:hint="eastAsia" w:ascii="仿宋" w:hAnsi="仿宋" w:eastAsia="仿宋" w:cs="仿宋"/>
          <w:color w:val="333333"/>
          <w:sz w:val="24"/>
          <w:szCs w:val="24"/>
          <w:bdr w:val="none" w:color="auto" w:sz="0" w:space="0"/>
        </w:rPr>
        <w:drawing>
          <wp:inline distT="0" distB="0" distL="114300" distR="114300">
            <wp:extent cx="85725" cy="133350"/>
            <wp:effectExtent l="0" t="0" r="9525" b="0"/>
            <wp:docPr id="43" name="图片 87" descr="IMG_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87" descr="IMG_342"/>
                    <pic:cNvPicPr>
                      <a:picLocks noChangeAspect="1"/>
                    </pic:cNvPicPr>
                  </pic:nvPicPr>
                  <pic:blipFill>
                    <a:blip r:embed="rId43"/>
                    <a:stretch>
                      <a:fillRect/>
                    </a:stretch>
                  </pic:blipFill>
                  <pic:spPr>
                    <a:xfrm>
                      <a:off x="0" y="0"/>
                      <a:ext cx="85725" cy="133350"/>
                    </a:xfrm>
                    <a:prstGeom prst="rect">
                      <a:avLst/>
                    </a:prstGeom>
                    <a:noFill/>
                    <a:ln w="9525">
                      <a:noFill/>
                    </a:ln>
                  </pic:spPr>
                </pic:pic>
              </a:graphicData>
            </a:graphic>
          </wp:inline>
        </w:drawing>
      </w:r>
      <w:r>
        <w:rPr>
          <w:rFonts w:hint="eastAsia" w:ascii="仿宋" w:hAnsi="仿宋" w:eastAsia="仿宋" w:cs="仿宋"/>
          <w:color w:val="333333"/>
          <w:sz w:val="24"/>
          <w:szCs w:val="24"/>
        </w:rPr>
        <w:t>：个别因素修正系数，</w:t>
      </w:r>
      <w:r>
        <w:rPr>
          <w:rFonts w:hint="eastAsia" w:ascii="仿宋" w:hAnsi="仿宋" w:eastAsia="仿宋" w:cs="仿宋"/>
          <w:color w:val="333333"/>
          <w:sz w:val="24"/>
          <w:szCs w:val="24"/>
          <w:bdr w:val="none" w:color="auto" w:sz="0" w:space="0"/>
        </w:rPr>
        <w:drawing>
          <wp:inline distT="0" distB="0" distL="114300" distR="114300">
            <wp:extent cx="104775" cy="133350"/>
            <wp:effectExtent l="0" t="0" r="9525" b="0"/>
            <wp:docPr id="4" name="图片 88"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8" descr="IMG_343"/>
                    <pic:cNvPicPr>
                      <a:picLocks noChangeAspect="1"/>
                    </pic:cNvPicPr>
                  </pic:nvPicPr>
                  <pic:blipFill>
                    <a:blip r:embed="rId16"/>
                    <a:stretch>
                      <a:fillRect/>
                    </a:stretch>
                  </pic:blipFill>
                  <pic:spPr>
                    <a:xfrm>
                      <a:off x="0" y="0"/>
                      <a:ext cx="104775"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：其他因素修正系数，</w:t>
      </w:r>
      <w:r>
        <w:rPr>
          <w:rFonts w:hint="eastAsia" w:ascii="仿宋" w:hAnsi="仿宋" w:eastAsia="仿宋" w:cs="仿宋"/>
          <w:color w:val="333333"/>
          <w:sz w:val="24"/>
          <w:szCs w:val="24"/>
          <w:bdr w:val="none" w:color="auto" w:sz="0" w:space="0"/>
        </w:rPr>
        <w:drawing>
          <wp:inline distT="0" distB="0" distL="114300" distR="114300">
            <wp:extent cx="95250" cy="133350"/>
            <wp:effectExtent l="0" t="0" r="0" b="0"/>
            <wp:docPr id="48" name="图片 89"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9" descr="IMG_344"/>
                    <pic:cNvPicPr>
                      <a:picLocks noChangeAspect="1"/>
                    </pic:cNvPicPr>
                  </pic:nvPicPr>
                  <pic:blipFill>
                    <a:blip r:embed="rId44"/>
                    <a:stretch>
                      <a:fillRect/>
                    </a:stretch>
                  </pic:blipFill>
                  <pic:spPr>
                    <a:xfrm>
                      <a:off x="0" y="0"/>
                      <a:ext cx="95250" cy="133350"/>
                    </a:xfrm>
                    <a:prstGeom prst="rect">
                      <a:avLst/>
                    </a:prstGeom>
                    <a:noFill/>
                    <a:ln w="9525">
                      <a:noFill/>
                    </a:ln>
                  </pic:spPr>
                </pic:pic>
              </a:graphicData>
            </a:graphic>
          </wp:inline>
        </w:drawing>
      </w:r>
      <w:r>
        <w:rPr>
          <w:rFonts w:hint="eastAsia" w:ascii="仿宋" w:hAnsi="仿宋" w:eastAsia="仿宋" w:cs="仿宋"/>
          <w:color w:val="333333"/>
          <w:sz w:val="24"/>
          <w:szCs w:val="24"/>
        </w:rPr>
        <w:t>：开发程度修正，</w:t>
      </w:r>
      <w:r>
        <w:rPr>
          <w:rFonts w:hint="eastAsia" w:ascii="仿宋" w:hAnsi="仿宋" w:eastAsia="仿宋" w:cs="仿宋"/>
          <w:color w:val="333333"/>
          <w:sz w:val="24"/>
          <w:szCs w:val="24"/>
          <w:bdr w:val="none" w:color="auto" w:sz="0" w:space="0"/>
        </w:rPr>
        <w:drawing>
          <wp:inline distT="0" distB="0" distL="114300" distR="114300">
            <wp:extent cx="38100" cy="133350"/>
            <wp:effectExtent l="0" t="0" r="0" b="0"/>
            <wp:docPr id="6" name="图片 90"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0" descr="IMG_345"/>
                    <pic:cNvPicPr>
                      <a:picLocks noChangeAspect="1"/>
                    </pic:cNvPicPr>
                  </pic:nvPicPr>
                  <pic:blipFill>
                    <a:blip r:embed="rId15"/>
                    <a:stretch>
                      <a:fillRect/>
                    </a:stretch>
                  </pic:blipFill>
                  <pic:spPr>
                    <a:xfrm>
                      <a:off x="0" y="0"/>
                      <a:ext cx="38100" cy="133350"/>
                    </a:xfrm>
                    <a:prstGeom prst="rect">
                      <a:avLst/>
                    </a:prstGeom>
                    <a:noFill/>
                    <a:ln w="9525">
                      <a:noFill/>
                    </a:ln>
                  </pic:spPr>
                </pic:pic>
              </a:graphicData>
            </a:graphic>
          </wp:inline>
        </w:drawing>
      </w:r>
      <w:r>
        <w:rPr>
          <w:rFonts w:hint="eastAsia" w:ascii="仿宋" w:hAnsi="仿宋" w:eastAsia="仿宋" w:cs="仿宋"/>
          <w:color w:val="333333"/>
          <w:sz w:val="24"/>
          <w:szCs w:val="24"/>
        </w:rPr>
        <w:t>：区域因素个数；</w:t>
      </w:r>
      <w:r>
        <w:rPr>
          <w:rFonts w:hint="eastAsia" w:ascii="仿宋" w:hAnsi="仿宋" w:eastAsia="仿宋" w:cs="仿宋"/>
          <w:color w:val="333333"/>
          <w:sz w:val="24"/>
          <w:szCs w:val="24"/>
          <w:bdr w:val="none" w:color="auto" w:sz="0" w:space="0"/>
        </w:rPr>
        <w:drawing>
          <wp:inline distT="0" distB="0" distL="114300" distR="114300">
            <wp:extent cx="104775" cy="238125"/>
            <wp:effectExtent l="0" t="0" r="0" b="0"/>
            <wp:docPr id="38" name="图片 91"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91" descr="IMG_346"/>
                    <pic:cNvPicPr>
                      <a:picLocks noChangeAspect="1"/>
                    </pic:cNvPicPr>
                  </pic:nvPicPr>
                  <pic:blipFill>
                    <a:blip r:embed="rId15"/>
                    <a:stretch>
                      <a:fillRect/>
                    </a:stretch>
                  </pic:blipFill>
                  <pic:spPr>
                    <a:xfrm>
                      <a:off x="0" y="0"/>
                      <a:ext cx="104775" cy="238125"/>
                    </a:xfrm>
                    <a:prstGeom prst="rect">
                      <a:avLst/>
                    </a:prstGeom>
                    <a:noFill/>
                    <a:ln w="9525">
                      <a:noFill/>
                    </a:ln>
                  </pic:spPr>
                </pic:pic>
              </a:graphicData>
            </a:graphic>
          </wp:inline>
        </w:drawing>
      </w:r>
      <w:r>
        <w:rPr>
          <w:rFonts w:hint="eastAsia" w:ascii="仿宋" w:hAnsi="仿宋" w:eastAsia="仿宋" w:cs="仿宋"/>
          <w:color w:val="333333"/>
          <w:sz w:val="24"/>
          <w:szCs w:val="24"/>
        </w:rPr>
        <w:t>，个别因素个数，</w:t>
      </w:r>
      <w:r>
        <w:rPr>
          <w:rFonts w:hint="eastAsia" w:ascii="仿宋" w:hAnsi="仿宋" w:eastAsia="仿宋" w:cs="仿宋"/>
          <w:color w:val="333333"/>
          <w:sz w:val="24"/>
          <w:szCs w:val="24"/>
          <w:bdr w:val="none" w:color="auto" w:sz="0" w:space="0"/>
        </w:rPr>
        <w:drawing>
          <wp:inline distT="0" distB="0" distL="114300" distR="114300">
            <wp:extent cx="76200" cy="133350"/>
            <wp:effectExtent l="0" t="0" r="0" b="0"/>
            <wp:docPr id="41" name="图片 92" descr="IMG_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2" descr="IMG_347"/>
                    <pic:cNvPicPr>
                      <a:picLocks noChangeAspect="1"/>
                    </pic:cNvPicPr>
                  </pic:nvPicPr>
                  <pic:blipFill>
                    <a:blip r:embed="rId15"/>
                    <a:stretch>
                      <a:fillRect/>
                    </a:stretch>
                  </pic:blipFill>
                  <pic:spPr>
                    <a:xfrm>
                      <a:off x="0" y="0"/>
                      <a:ext cx="76200" cy="133350"/>
                    </a:xfrm>
                    <a:prstGeom prst="rect">
                      <a:avLst/>
                    </a:prstGeom>
                    <a:noFill/>
                    <a:ln w="9525">
                      <a:noFill/>
                    </a:ln>
                  </pic:spPr>
                </pic:pic>
              </a:graphicData>
            </a:graphic>
          </wp:inline>
        </w:drawing>
      </w:r>
      <w:r>
        <w:rPr>
          <w:rFonts w:hint="eastAsia" w:ascii="仿宋" w:hAnsi="仿宋" w:eastAsia="仿宋" w:cs="仿宋"/>
          <w:color w:val="333333"/>
          <w:sz w:val="24"/>
          <w:szCs w:val="24"/>
        </w:rPr>
        <w:t>：其他因素个数。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786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48"/>
      <w:szCs w:val="48"/>
      <w:lang w:val="en-US" w:eastAsia="zh-CN" w:bidi="ar"/>
    </w:rPr>
  </w:style>
  <w:style w:type="paragraph" w:styleId="3">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FollowedHyperlink"/>
    <w:basedOn w:val="6"/>
    <w:uiPriority w:val="0"/>
    <w:rPr>
      <w:color w:val="333333"/>
      <w:u w:val="none"/>
    </w:rPr>
  </w:style>
  <w:style w:type="character" w:styleId="8">
    <w:name w:val="HTML Definition"/>
    <w:basedOn w:val="6"/>
    <w:uiPriority w:val="0"/>
  </w:style>
  <w:style w:type="character" w:styleId="9">
    <w:name w:val="HTML Variable"/>
    <w:basedOn w:val="6"/>
    <w:uiPriority w:val="0"/>
  </w:style>
  <w:style w:type="character" w:styleId="10">
    <w:name w:val="Hyperlink"/>
    <w:basedOn w:val="6"/>
    <w:uiPriority w:val="0"/>
    <w:rPr>
      <w:color w:val="333333"/>
      <w:u w:val="none"/>
    </w:rPr>
  </w:style>
  <w:style w:type="character" w:styleId="11">
    <w:name w:val="HTML Code"/>
    <w:basedOn w:val="6"/>
    <w:uiPriority w:val="0"/>
    <w:rPr>
      <w:rFonts w:ascii="Courier New" w:hAnsi="Courier New"/>
      <w:sz w:val="20"/>
    </w:rPr>
  </w:style>
  <w:style w:type="character" w:styleId="12">
    <w:name w:val="HTML Cite"/>
    <w:basedOn w:val="6"/>
    <w:uiPriority w:val="0"/>
  </w:style>
  <w:style w:type="character" w:customStyle="1" w:styleId="13">
    <w:name w:val="bsharetext"/>
    <w:basedOn w:val="6"/>
    <w:uiPriority w:val="0"/>
  </w:style>
  <w:style w:type="character" w:customStyle="1" w:styleId="14">
    <w:name w:val="txtbg"/>
    <w:basedOn w:val="6"/>
    <w:uiPriority w:val="0"/>
    <w:rPr>
      <w:shd w:val="clear" w:fill="000000"/>
    </w:rPr>
  </w:style>
  <w:style w:type="character" w:customStyle="1" w:styleId="15">
    <w:name w:val="beian"/>
    <w:basedOn w:val="6"/>
    <w:uiPriority w:val="0"/>
    <w:rPr>
      <w:vanish/>
    </w:rPr>
  </w:style>
  <w:style w:type="character" w:customStyle="1" w:styleId="16">
    <w:name w:val="txt"/>
    <w:basedOn w:val="6"/>
    <w:uiPriority w:val="0"/>
    <w:rPr>
      <w:color w:val="F1F1F1"/>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9" Type="http://schemas.openxmlformats.org/officeDocument/2006/relationships/fontTable" Target="fontTable.xml"/><Relationship Id="rId48" Type="http://schemas.openxmlformats.org/officeDocument/2006/relationships/customXml" Target="../customXml/item1.xml"/><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NUL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2020-12-09T06:39:04Z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