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rPr>
          <w:rFonts w:hint="eastAsia" w:ascii="黑体" w:eastAsia="黑体"/>
          <w:sz w:val="32"/>
          <w:szCs w:val="32"/>
          <w:highlight w:val="none"/>
        </w:rPr>
      </w:pPr>
      <w:r>
        <w:rPr>
          <w:rFonts w:hint="eastAsia" w:ascii="黑体" w:eastAsia="黑体"/>
          <w:sz w:val="32"/>
          <w:szCs w:val="32"/>
          <w:highlight w:val="none"/>
        </w:rPr>
        <w:t>附件1：</w:t>
      </w:r>
    </w:p>
    <w:p>
      <w:pPr>
        <w:widowControl/>
        <w:spacing w:line="400" w:lineRule="exact"/>
        <w:rPr>
          <w:rFonts w:hint="eastAsia" w:ascii="黑体" w:eastAsia="黑体"/>
          <w:sz w:val="28"/>
          <w:szCs w:val="28"/>
          <w:highlight w:val="none"/>
        </w:rPr>
      </w:pPr>
    </w:p>
    <w:p>
      <w:pPr>
        <w:spacing w:line="560" w:lineRule="exact"/>
        <w:jc w:val="center"/>
        <w:rPr>
          <w:rFonts w:hint="eastAsia" w:ascii="方正小标宋简体" w:eastAsia="方正小标宋简体"/>
          <w:sz w:val="44"/>
          <w:szCs w:val="44"/>
          <w:highlight w:val="none"/>
          <w:lang w:val="en-US" w:eastAsia="zh-CN"/>
        </w:rPr>
      </w:pPr>
      <w:r>
        <w:rPr>
          <w:rFonts w:hint="eastAsia" w:ascii="方正小标宋简体" w:eastAsia="方正小标宋简体"/>
          <w:sz w:val="44"/>
          <w:szCs w:val="44"/>
          <w:highlight w:val="none"/>
        </w:rPr>
        <w:t>南昌市</w:t>
      </w:r>
      <w:r>
        <w:rPr>
          <w:rFonts w:hint="eastAsia" w:ascii="方正小标宋简体" w:eastAsia="方正小标宋简体"/>
          <w:sz w:val="44"/>
          <w:szCs w:val="44"/>
          <w:highlight w:val="none"/>
          <w:lang w:eastAsia="zh-CN"/>
        </w:rPr>
        <w:t>土地储备中心</w:t>
      </w:r>
    </w:p>
    <w:p>
      <w:pPr>
        <w:spacing w:line="560" w:lineRule="exact"/>
        <w:jc w:val="center"/>
        <w:rPr>
          <w:rFonts w:hint="eastAsia" w:ascii="方正小标宋简体" w:eastAsia="方正小标宋简体"/>
          <w:sz w:val="44"/>
          <w:szCs w:val="44"/>
          <w:highlight w:val="none"/>
        </w:rPr>
      </w:pPr>
      <w:r>
        <w:rPr>
          <w:rFonts w:hint="eastAsia" w:ascii="方正小标宋简体" w:eastAsia="方正小标宋简体"/>
          <w:sz w:val="44"/>
          <w:szCs w:val="44"/>
          <w:highlight w:val="none"/>
        </w:rPr>
        <w:t>202</w:t>
      </w:r>
      <w:r>
        <w:rPr>
          <w:rFonts w:hint="eastAsia" w:ascii="方正小标宋简体" w:eastAsia="方正小标宋简体"/>
          <w:sz w:val="44"/>
          <w:szCs w:val="44"/>
          <w:highlight w:val="none"/>
          <w:lang w:eastAsia="zh-CN"/>
        </w:rPr>
        <w:t>2</w:t>
      </w:r>
      <w:r>
        <w:rPr>
          <w:rFonts w:hint="eastAsia" w:ascii="方正小标宋简体" w:eastAsia="方正小标宋简体"/>
          <w:sz w:val="44"/>
          <w:szCs w:val="44"/>
          <w:highlight w:val="none"/>
        </w:rPr>
        <w:t>年部门预算</w:t>
      </w:r>
    </w:p>
    <w:p>
      <w:pPr>
        <w:spacing w:line="560" w:lineRule="exact"/>
        <w:jc w:val="both"/>
        <w:rPr>
          <w:rFonts w:hint="eastAsia" w:eastAsia="宋体"/>
          <w:b w:val="0"/>
          <w:bCs/>
          <w:sz w:val="36"/>
          <w:szCs w:val="36"/>
          <w:highlight w:val="none"/>
          <w:lang w:eastAsia="zh-CN"/>
        </w:rPr>
      </w:pPr>
    </w:p>
    <w:p>
      <w:pPr>
        <w:spacing w:line="520" w:lineRule="exact"/>
        <w:jc w:val="center"/>
        <w:rPr>
          <w:rFonts w:hint="eastAsia" w:ascii="黑体" w:eastAsia="黑体"/>
          <w:sz w:val="32"/>
          <w:szCs w:val="32"/>
          <w:highlight w:val="none"/>
        </w:rPr>
      </w:pPr>
      <w:r>
        <w:rPr>
          <w:rFonts w:hint="eastAsia" w:ascii="黑体" w:eastAsia="黑体"/>
          <w:sz w:val="32"/>
          <w:szCs w:val="32"/>
          <w:highlight w:val="none"/>
        </w:rPr>
        <w:t>目  录</w:t>
      </w:r>
    </w:p>
    <w:p>
      <w:pPr>
        <w:spacing w:line="400" w:lineRule="exact"/>
        <w:rPr>
          <w:rFonts w:hint="eastAsia"/>
          <w:sz w:val="32"/>
          <w:szCs w:val="32"/>
          <w:highlight w:val="none"/>
        </w:rPr>
      </w:pPr>
    </w:p>
    <w:p>
      <w:pPr>
        <w:keepNext w:val="0"/>
        <w:keepLines w:val="0"/>
        <w:pageBreakBefore w:val="0"/>
        <w:widowControl/>
        <w:kinsoku/>
        <w:wordWrap/>
        <w:overflowPunct/>
        <w:topLinePunct w:val="0"/>
        <w:autoSpaceDE/>
        <w:autoSpaceDN/>
        <w:bidi w:val="0"/>
        <w:adjustRightInd/>
        <w:snapToGrid/>
        <w:spacing w:line="450" w:lineRule="exact"/>
        <w:ind w:firstLine="562" w:firstLineChars="200"/>
        <w:textAlignment w:val="auto"/>
        <w:rPr>
          <w:rFonts w:hint="eastAsia" w:ascii="仿宋_GB2312" w:eastAsia="仿宋_GB2312"/>
          <w:b/>
          <w:sz w:val="28"/>
          <w:szCs w:val="28"/>
          <w:highlight w:val="none"/>
        </w:rPr>
      </w:pPr>
      <w:r>
        <w:rPr>
          <w:rFonts w:hint="eastAsia" w:ascii="仿宋_GB2312" w:eastAsia="仿宋_GB2312"/>
          <w:b/>
          <w:sz w:val="28"/>
          <w:szCs w:val="28"/>
          <w:highlight w:val="none"/>
        </w:rPr>
        <w:t xml:space="preserve">第一部分  </w:t>
      </w:r>
      <w:r>
        <w:rPr>
          <w:rFonts w:hint="eastAsia" w:ascii="仿宋_GB2312" w:eastAsia="仿宋_GB2312"/>
          <w:b/>
          <w:sz w:val="28"/>
          <w:szCs w:val="28"/>
          <w:highlight w:val="none"/>
          <w:lang w:eastAsia="zh-CN"/>
        </w:rPr>
        <w:t>南昌市土地储备中心</w:t>
      </w:r>
      <w:r>
        <w:rPr>
          <w:rFonts w:hint="eastAsia" w:ascii="仿宋_GB2312" w:eastAsia="仿宋_GB2312"/>
          <w:b/>
          <w:sz w:val="28"/>
          <w:szCs w:val="28"/>
          <w:highlight w:val="none"/>
        </w:rPr>
        <w:t>概况</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eastAsia="仿宋_GB2312"/>
          <w:sz w:val="28"/>
          <w:szCs w:val="28"/>
          <w:highlight w:val="none"/>
        </w:rPr>
      </w:pPr>
      <w:r>
        <w:rPr>
          <w:rFonts w:hint="eastAsia" w:ascii="仿宋_GB2312" w:eastAsia="仿宋_GB2312"/>
          <w:sz w:val="28"/>
          <w:szCs w:val="28"/>
          <w:highlight w:val="none"/>
        </w:rPr>
        <w:t>一、部门主要职责</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default"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二、部门2022年主要工作任务</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hAnsi="Calibri" w:eastAsia="仿宋_GB2312" w:cs="宋体"/>
          <w:kern w:val="0"/>
          <w:sz w:val="28"/>
          <w:szCs w:val="28"/>
          <w:highlight w:val="none"/>
        </w:rPr>
      </w:pPr>
      <w:r>
        <w:rPr>
          <w:rFonts w:hint="eastAsia" w:ascii="仿宋_GB2312" w:hAnsi="Calibri" w:eastAsia="仿宋_GB2312" w:cs="宋体"/>
          <w:kern w:val="0"/>
          <w:sz w:val="28"/>
          <w:szCs w:val="28"/>
          <w:highlight w:val="none"/>
        </w:rPr>
        <w:t>二、部门基本情况</w:t>
      </w:r>
    </w:p>
    <w:p>
      <w:pPr>
        <w:keepNext w:val="0"/>
        <w:keepLines w:val="0"/>
        <w:pageBreakBefore w:val="0"/>
        <w:widowControl/>
        <w:kinsoku/>
        <w:wordWrap/>
        <w:overflowPunct/>
        <w:topLinePunct w:val="0"/>
        <w:autoSpaceDE/>
        <w:autoSpaceDN/>
        <w:bidi w:val="0"/>
        <w:adjustRightInd/>
        <w:snapToGrid/>
        <w:spacing w:line="450" w:lineRule="exact"/>
        <w:ind w:firstLine="562" w:firstLineChars="200"/>
        <w:textAlignment w:val="auto"/>
        <w:rPr>
          <w:rFonts w:hint="eastAsia" w:ascii="仿宋_GB2312" w:eastAsia="仿宋_GB2312"/>
          <w:b/>
          <w:sz w:val="28"/>
          <w:szCs w:val="28"/>
          <w:highlight w:val="none"/>
        </w:rPr>
      </w:pPr>
      <w:r>
        <w:rPr>
          <w:rFonts w:hint="eastAsia" w:ascii="仿宋_GB2312" w:eastAsia="仿宋_GB2312"/>
          <w:b/>
          <w:sz w:val="28"/>
          <w:szCs w:val="28"/>
          <w:highlight w:val="none"/>
        </w:rPr>
        <w:t>第</w:t>
      </w:r>
      <w:r>
        <w:rPr>
          <w:rFonts w:hint="eastAsia" w:ascii="仿宋_GB2312" w:eastAsia="仿宋_GB2312"/>
          <w:b/>
          <w:sz w:val="28"/>
          <w:szCs w:val="28"/>
          <w:highlight w:val="none"/>
          <w:lang w:val="en-US" w:eastAsia="zh-CN"/>
        </w:rPr>
        <w:t>二</w:t>
      </w:r>
      <w:r>
        <w:rPr>
          <w:rFonts w:hint="eastAsia" w:ascii="仿宋_GB2312" w:eastAsia="仿宋_GB2312"/>
          <w:b/>
          <w:sz w:val="28"/>
          <w:szCs w:val="28"/>
          <w:highlight w:val="none"/>
        </w:rPr>
        <w:t xml:space="preserve">部分  </w:t>
      </w:r>
      <w:r>
        <w:rPr>
          <w:rFonts w:hint="eastAsia" w:ascii="仿宋_GB2312" w:eastAsia="仿宋_GB2312"/>
          <w:b/>
          <w:sz w:val="28"/>
          <w:szCs w:val="28"/>
          <w:highlight w:val="none"/>
          <w:lang w:eastAsia="zh-CN"/>
        </w:rPr>
        <w:t>南昌市土地储备中心</w:t>
      </w:r>
      <w:r>
        <w:rPr>
          <w:rFonts w:hint="eastAsia" w:ascii="仿宋_GB2312" w:eastAsia="仿宋_GB2312"/>
          <w:b/>
          <w:spacing w:val="-4"/>
          <w:kern w:val="28"/>
          <w:sz w:val="28"/>
          <w:szCs w:val="28"/>
          <w:highlight w:val="none"/>
        </w:rPr>
        <w:t>202</w:t>
      </w:r>
      <w:r>
        <w:rPr>
          <w:rFonts w:hint="eastAsia" w:ascii="仿宋_GB2312" w:eastAsia="仿宋_GB2312"/>
          <w:b/>
          <w:spacing w:val="-4"/>
          <w:kern w:val="28"/>
          <w:sz w:val="28"/>
          <w:szCs w:val="28"/>
          <w:highlight w:val="none"/>
          <w:lang w:val="en-US" w:eastAsia="zh-CN"/>
        </w:rPr>
        <w:t>2</w:t>
      </w:r>
      <w:r>
        <w:rPr>
          <w:rFonts w:hint="eastAsia" w:ascii="仿宋_GB2312" w:eastAsia="仿宋_GB2312"/>
          <w:b/>
          <w:sz w:val="28"/>
          <w:szCs w:val="28"/>
          <w:highlight w:val="none"/>
        </w:rPr>
        <w:t>年部门预算表</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eastAsia="仿宋_GB2312"/>
          <w:sz w:val="28"/>
          <w:szCs w:val="28"/>
          <w:highlight w:val="none"/>
        </w:rPr>
      </w:pPr>
      <w:r>
        <w:rPr>
          <w:rFonts w:hint="eastAsia" w:ascii="仿宋_GB2312" w:eastAsia="仿宋_GB2312"/>
          <w:sz w:val="28"/>
          <w:szCs w:val="28"/>
          <w:highlight w:val="none"/>
        </w:rPr>
        <w:t>一、《收支预算总表》</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eastAsia="仿宋_GB2312"/>
          <w:sz w:val="28"/>
          <w:szCs w:val="28"/>
          <w:highlight w:val="none"/>
        </w:rPr>
      </w:pPr>
      <w:r>
        <w:rPr>
          <w:rFonts w:hint="eastAsia" w:ascii="仿宋_GB2312" w:eastAsia="仿宋_GB2312"/>
          <w:sz w:val="28"/>
          <w:szCs w:val="28"/>
          <w:highlight w:val="none"/>
        </w:rPr>
        <w:t>二、《部门收入总表》</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eastAsia="仿宋_GB2312"/>
          <w:sz w:val="28"/>
          <w:szCs w:val="28"/>
          <w:highlight w:val="none"/>
        </w:rPr>
      </w:pPr>
      <w:r>
        <w:rPr>
          <w:rFonts w:hint="eastAsia" w:ascii="仿宋_GB2312" w:eastAsia="仿宋_GB2312"/>
          <w:sz w:val="28"/>
          <w:szCs w:val="28"/>
          <w:highlight w:val="none"/>
        </w:rPr>
        <w:t>三、《部门支出总表》</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eastAsia="仿宋_GB2312"/>
          <w:sz w:val="28"/>
          <w:szCs w:val="28"/>
          <w:highlight w:val="none"/>
        </w:rPr>
      </w:pPr>
      <w:r>
        <w:rPr>
          <w:rFonts w:hint="eastAsia" w:ascii="仿宋_GB2312" w:eastAsia="仿宋_GB2312"/>
          <w:sz w:val="28"/>
          <w:szCs w:val="28"/>
          <w:highlight w:val="none"/>
        </w:rPr>
        <w:t>四、《财政拨款收支总表》</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eastAsia="仿宋_GB2312"/>
          <w:sz w:val="28"/>
          <w:szCs w:val="28"/>
          <w:highlight w:val="none"/>
        </w:rPr>
      </w:pPr>
      <w:r>
        <w:rPr>
          <w:rFonts w:hint="eastAsia" w:ascii="仿宋_GB2312" w:eastAsia="仿宋_GB2312"/>
          <w:sz w:val="28"/>
          <w:szCs w:val="28"/>
          <w:highlight w:val="none"/>
        </w:rPr>
        <w:t>五、《一般公共预算支出表》</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eastAsia="仿宋_GB2312"/>
          <w:sz w:val="28"/>
          <w:szCs w:val="28"/>
          <w:highlight w:val="none"/>
        </w:rPr>
      </w:pPr>
      <w:r>
        <w:rPr>
          <w:rFonts w:hint="eastAsia" w:ascii="仿宋_GB2312" w:eastAsia="仿宋_GB2312"/>
          <w:sz w:val="28"/>
          <w:szCs w:val="28"/>
          <w:highlight w:val="none"/>
        </w:rPr>
        <w:t>六、《一般公共预算基本支出表》</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eastAsia="仿宋_GB2312"/>
          <w:sz w:val="28"/>
          <w:szCs w:val="28"/>
          <w:highlight w:val="none"/>
        </w:rPr>
      </w:pPr>
      <w:r>
        <w:rPr>
          <w:rFonts w:hint="eastAsia" w:ascii="仿宋_GB2312" w:eastAsia="仿宋_GB2312"/>
          <w:sz w:val="28"/>
          <w:szCs w:val="28"/>
          <w:highlight w:val="none"/>
        </w:rPr>
        <w:t>七、《一般公共预算“三公”经费支出表》</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eastAsia="仿宋_GB2312"/>
          <w:sz w:val="28"/>
          <w:szCs w:val="28"/>
          <w:highlight w:val="none"/>
        </w:rPr>
      </w:pPr>
      <w:r>
        <w:rPr>
          <w:rFonts w:hint="eastAsia" w:ascii="仿宋_GB2312" w:eastAsia="仿宋_GB2312"/>
          <w:sz w:val="28"/>
          <w:szCs w:val="28"/>
          <w:highlight w:val="none"/>
        </w:rPr>
        <w:t>八、《政府性基金预算支出表》</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hAnsi="Times New Roman" w:eastAsia="仿宋_GB2312" w:cs="Times New Roman"/>
          <w:sz w:val="28"/>
          <w:szCs w:val="28"/>
          <w:highlight w:val="none"/>
        </w:rPr>
      </w:pPr>
      <w:r>
        <w:rPr>
          <w:rFonts w:hint="eastAsia" w:ascii="仿宋_GB2312" w:hAnsi="Times New Roman" w:eastAsia="仿宋_GB2312" w:cs="Times New Roman"/>
          <w:sz w:val="28"/>
          <w:szCs w:val="28"/>
          <w:highlight w:val="none"/>
          <w:lang w:eastAsia="zh-CN"/>
        </w:rPr>
        <w:t>九、《国有资本经营预算支出表》</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hAnsi="Times New Roman" w:eastAsia="仿宋_GB2312" w:cs="Times New Roman"/>
          <w:sz w:val="28"/>
          <w:szCs w:val="28"/>
          <w:highlight w:val="none"/>
        </w:rPr>
      </w:pPr>
      <w:r>
        <w:rPr>
          <w:rFonts w:hint="eastAsia" w:ascii="仿宋_GB2312" w:hAnsi="Times New Roman" w:eastAsia="仿宋_GB2312" w:cs="Times New Roman"/>
          <w:sz w:val="28"/>
          <w:szCs w:val="28"/>
          <w:highlight w:val="none"/>
          <w:lang w:eastAsia="zh-CN"/>
        </w:rPr>
        <w:t>十</w:t>
      </w:r>
      <w:r>
        <w:rPr>
          <w:rFonts w:hint="eastAsia" w:ascii="仿宋_GB2312" w:hAnsi="Times New Roman" w:eastAsia="仿宋_GB2312" w:cs="Times New Roman"/>
          <w:sz w:val="28"/>
          <w:szCs w:val="28"/>
          <w:highlight w:val="none"/>
        </w:rPr>
        <w:t>、《项目支出绩效目标表》</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hAnsi="Times New Roman" w:eastAsia="仿宋_GB2312" w:cs="Times New Roman"/>
          <w:sz w:val="28"/>
          <w:szCs w:val="28"/>
          <w:highlight w:val="none"/>
        </w:rPr>
      </w:pPr>
      <w:r>
        <w:rPr>
          <w:rFonts w:hint="eastAsia" w:ascii="仿宋_GB2312" w:hAnsi="Times New Roman" w:eastAsia="仿宋_GB2312" w:cs="Times New Roman"/>
          <w:sz w:val="28"/>
          <w:szCs w:val="28"/>
          <w:highlight w:val="none"/>
        </w:rPr>
        <w:t>十</w:t>
      </w:r>
      <w:r>
        <w:rPr>
          <w:rFonts w:hint="eastAsia" w:ascii="仿宋_GB2312" w:hAnsi="Times New Roman" w:eastAsia="仿宋_GB2312" w:cs="Times New Roman"/>
          <w:sz w:val="28"/>
          <w:szCs w:val="28"/>
          <w:highlight w:val="none"/>
          <w:lang w:eastAsia="zh-CN"/>
        </w:rPr>
        <w:t>一</w:t>
      </w:r>
      <w:r>
        <w:rPr>
          <w:rFonts w:hint="eastAsia" w:ascii="仿宋_GB2312" w:hAnsi="Times New Roman" w:eastAsia="仿宋_GB2312" w:cs="Times New Roman"/>
          <w:sz w:val="28"/>
          <w:szCs w:val="28"/>
          <w:highlight w:val="none"/>
        </w:rPr>
        <w:t>、《部门整体支出绩效目标表》</w:t>
      </w:r>
    </w:p>
    <w:p>
      <w:pPr>
        <w:keepNext w:val="0"/>
        <w:keepLines w:val="0"/>
        <w:pageBreakBefore w:val="0"/>
        <w:widowControl/>
        <w:kinsoku/>
        <w:wordWrap/>
        <w:overflowPunct/>
        <w:topLinePunct w:val="0"/>
        <w:autoSpaceDE/>
        <w:autoSpaceDN/>
        <w:bidi w:val="0"/>
        <w:adjustRightInd/>
        <w:snapToGrid/>
        <w:spacing w:line="450" w:lineRule="exact"/>
        <w:ind w:firstLine="546" w:firstLineChars="200"/>
        <w:textAlignment w:val="auto"/>
        <w:rPr>
          <w:rFonts w:hint="eastAsia" w:ascii="仿宋_GB2312" w:eastAsia="仿宋_GB2312"/>
          <w:b/>
          <w:spacing w:val="-4"/>
          <w:kern w:val="28"/>
          <w:sz w:val="28"/>
          <w:szCs w:val="28"/>
          <w:highlight w:val="none"/>
        </w:rPr>
      </w:pPr>
      <w:r>
        <w:rPr>
          <w:rFonts w:hint="eastAsia" w:ascii="仿宋_GB2312" w:hAnsi="Calibri" w:eastAsia="仿宋_GB2312" w:cs="宋体"/>
          <w:b/>
          <w:spacing w:val="-4"/>
          <w:kern w:val="28"/>
          <w:sz w:val="28"/>
          <w:szCs w:val="28"/>
          <w:highlight w:val="none"/>
        </w:rPr>
        <w:t>第</w:t>
      </w:r>
      <w:r>
        <w:rPr>
          <w:rFonts w:hint="eastAsia" w:ascii="仿宋_GB2312" w:hAnsi="Calibri" w:eastAsia="仿宋_GB2312" w:cs="宋体"/>
          <w:b/>
          <w:spacing w:val="-4"/>
          <w:kern w:val="28"/>
          <w:sz w:val="28"/>
          <w:szCs w:val="28"/>
          <w:highlight w:val="none"/>
          <w:lang w:val="en-US" w:eastAsia="zh-CN"/>
        </w:rPr>
        <w:t>三</w:t>
      </w:r>
      <w:r>
        <w:rPr>
          <w:rFonts w:hint="eastAsia" w:ascii="仿宋_GB2312" w:hAnsi="Calibri" w:eastAsia="仿宋_GB2312" w:cs="宋体"/>
          <w:b/>
          <w:spacing w:val="-4"/>
          <w:kern w:val="28"/>
          <w:sz w:val="28"/>
          <w:szCs w:val="28"/>
          <w:highlight w:val="none"/>
        </w:rPr>
        <w:t xml:space="preserve">部分  </w:t>
      </w:r>
      <w:r>
        <w:rPr>
          <w:rFonts w:hint="eastAsia" w:ascii="仿宋_GB2312" w:eastAsia="仿宋_GB2312"/>
          <w:b/>
          <w:spacing w:val="-4"/>
          <w:kern w:val="28"/>
          <w:sz w:val="28"/>
          <w:szCs w:val="28"/>
          <w:highlight w:val="none"/>
          <w:lang w:eastAsia="zh-CN"/>
        </w:rPr>
        <w:t>南昌市土地储备中心</w:t>
      </w:r>
      <w:r>
        <w:rPr>
          <w:rFonts w:hint="eastAsia" w:ascii="仿宋_GB2312" w:eastAsia="仿宋_GB2312"/>
          <w:b/>
          <w:spacing w:val="-4"/>
          <w:kern w:val="28"/>
          <w:sz w:val="28"/>
          <w:szCs w:val="28"/>
          <w:highlight w:val="none"/>
        </w:rPr>
        <w:t>202</w:t>
      </w:r>
      <w:r>
        <w:rPr>
          <w:rFonts w:hint="eastAsia" w:ascii="仿宋_GB2312" w:eastAsia="仿宋_GB2312"/>
          <w:b/>
          <w:spacing w:val="-4"/>
          <w:kern w:val="28"/>
          <w:sz w:val="28"/>
          <w:szCs w:val="28"/>
          <w:highlight w:val="none"/>
          <w:lang w:val="en-US" w:eastAsia="zh-CN"/>
        </w:rPr>
        <w:t>2</w:t>
      </w:r>
      <w:r>
        <w:rPr>
          <w:rFonts w:hint="eastAsia" w:ascii="仿宋_GB2312" w:eastAsia="仿宋_GB2312"/>
          <w:b/>
          <w:spacing w:val="-4"/>
          <w:kern w:val="28"/>
          <w:sz w:val="28"/>
          <w:szCs w:val="28"/>
          <w:highlight w:val="none"/>
        </w:rPr>
        <w:t>年部门预算情况说明</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eastAsia="仿宋_GB2312"/>
          <w:sz w:val="28"/>
          <w:szCs w:val="28"/>
          <w:highlight w:val="none"/>
        </w:rPr>
      </w:pPr>
      <w:r>
        <w:rPr>
          <w:rFonts w:hint="eastAsia" w:ascii="仿宋_GB2312" w:eastAsia="仿宋_GB2312"/>
          <w:sz w:val="28"/>
          <w:szCs w:val="28"/>
          <w:highlight w:val="none"/>
        </w:rPr>
        <w:t>一、部门预算收支情况说明</w:t>
      </w:r>
    </w:p>
    <w:p>
      <w:pPr>
        <w:keepNext w:val="0"/>
        <w:keepLines w:val="0"/>
        <w:pageBreakBefore w:val="0"/>
        <w:widowControl/>
        <w:kinsoku/>
        <w:wordWrap/>
        <w:overflowPunct/>
        <w:topLinePunct w:val="0"/>
        <w:autoSpaceDE/>
        <w:autoSpaceDN/>
        <w:bidi w:val="0"/>
        <w:adjustRightInd/>
        <w:snapToGrid/>
        <w:spacing w:line="450" w:lineRule="exact"/>
        <w:ind w:firstLine="560" w:firstLineChars="200"/>
        <w:textAlignment w:val="auto"/>
        <w:rPr>
          <w:rFonts w:hint="eastAsia" w:ascii="仿宋_GB2312" w:hAnsi="Times New Roman" w:eastAsia="仿宋_GB2312" w:cs="Times New Roman"/>
          <w:sz w:val="28"/>
          <w:szCs w:val="28"/>
          <w:highlight w:val="none"/>
        </w:rPr>
      </w:pPr>
      <w:r>
        <w:rPr>
          <w:rFonts w:hint="eastAsia" w:ascii="仿宋_GB2312" w:hAnsi="Calibri" w:eastAsia="仿宋_GB2312" w:cs="宋体"/>
          <w:kern w:val="0"/>
          <w:sz w:val="28"/>
          <w:szCs w:val="28"/>
          <w:highlight w:val="none"/>
        </w:rPr>
        <w:t>二、</w:t>
      </w:r>
      <w:r>
        <w:rPr>
          <w:rFonts w:hint="eastAsia" w:ascii="仿宋_GB2312" w:eastAsia="仿宋_GB2312"/>
          <w:sz w:val="28"/>
          <w:szCs w:val="28"/>
          <w:highlight w:val="none"/>
        </w:rPr>
        <w:t>“三公”经费预算情况说明</w:t>
      </w:r>
    </w:p>
    <w:p>
      <w:pPr>
        <w:keepNext w:val="0"/>
        <w:keepLines w:val="0"/>
        <w:pageBreakBefore w:val="0"/>
        <w:widowControl/>
        <w:kinsoku/>
        <w:wordWrap/>
        <w:overflowPunct/>
        <w:topLinePunct w:val="0"/>
        <w:autoSpaceDE/>
        <w:autoSpaceDN/>
        <w:bidi w:val="0"/>
        <w:adjustRightInd/>
        <w:snapToGrid/>
        <w:spacing w:line="450" w:lineRule="exact"/>
        <w:ind w:firstLine="562" w:firstLineChars="200"/>
        <w:textAlignment w:val="auto"/>
        <w:rPr>
          <w:rFonts w:hint="eastAsia" w:ascii="仿宋_GB2312" w:eastAsia="仿宋_GB2312"/>
          <w:b/>
          <w:sz w:val="28"/>
          <w:szCs w:val="28"/>
          <w:highlight w:val="none"/>
        </w:rPr>
      </w:pPr>
      <w:r>
        <w:rPr>
          <w:rFonts w:hint="eastAsia" w:ascii="仿宋_GB2312" w:eastAsia="仿宋_GB2312"/>
          <w:b/>
          <w:sz w:val="28"/>
          <w:szCs w:val="28"/>
          <w:highlight w:val="none"/>
        </w:rPr>
        <w:t>第四部分  名词解释</w:t>
      </w:r>
    </w:p>
    <w:p>
      <w:pPr>
        <w:keepNext w:val="0"/>
        <w:keepLines w:val="0"/>
        <w:pageBreakBefore w:val="0"/>
        <w:widowControl/>
        <w:kinsoku/>
        <w:wordWrap/>
        <w:overflowPunct/>
        <w:topLinePunct w:val="0"/>
        <w:autoSpaceDE/>
        <w:autoSpaceDN/>
        <w:bidi w:val="0"/>
        <w:adjustRightInd/>
        <w:snapToGrid/>
        <w:spacing w:line="450" w:lineRule="exact"/>
        <w:ind w:firstLine="562" w:firstLineChars="200"/>
        <w:textAlignment w:val="auto"/>
        <w:rPr>
          <w:rFonts w:hint="eastAsia" w:ascii="仿宋_GB2312" w:eastAsia="仿宋_GB2312"/>
          <w:b/>
          <w:sz w:val="28"/>
          <w:szCs w:val="28"/>
          <w:highlight w:val="none"/>
        </w:rPr>
      </w:pPr>
    </w:p>
    <w:p>
      <w:pPr>
        <w:keepNext w:val="0"/>
        <w:keepLines w:val="0"/>
        <w:pageBreakBefore w:val="0"/>
        <w:widowControl/>
        <w:kinsoku/>
        <w:wordWrap/>
        <w:overflowPunct/>
        <w:topLinePunct w:val="0"/>
        <w:autoSpaceDE/>
        <w:autoSpaceDN/>
        <w:bidi w:val="0"/>
        <w:adjustRightInd/>
        <w:snapToGrid/>
        <w:spacing w:line="450" w:lineRule="exact"/>
        <w:ind w:firstLine="562" w:firstLineChars="200"/>
        <w:textAlignment w:val="auto"/>
        <w:rPr>
          <w:rFonts w:hint="eastAsia" w:ascii="仿宋_GB2312" w:eastAsia="仿宋_GB2312"/>
          <w:b/>
          <w:sz w:val="28"/>
          <w:szCs w:val="28"/>
          <w:highlight w:val="none"/>
        </w:rPr>
      </w:pPr>
    </w:p>
    <w:p>
      <w:pPr>
        <w:spacing w:line="540" w:lineRule="exact"/>
        <w:jc w:val="center"/>
        <w:rPr>
          <w:rFonts w:hint="eastAsia" w:ascii="方正小标宋简体" w:eastAsia="方正小标宋简体"/>
          <w:sz w:val="28"/>
          <w:szCs w:val="28"/>
          <w:highlight w:val="none"/>
        </w:rPr>
      </w:pPr>
      <w:r>
        <w:rPr>
          <w:rFonts w:hint="eastAsia" w:ascii="方正小标宋简体" w:eastAsia="方正小标宋简体"/>
          <w:sz w:val="28"/>
          <w:szCs w:val="28"/>
          <w:highlight w:val="none"/>
        </w:rPr>
        <w:t xml:space="preserve">第一部分  </w:t>
      </w:r>
      <w:r>
        <w:rPr>
          <w:rFonts w:hint="eastAsia" w:ascii="方正小标宋简体" w:eastAsia="方正小标宋简体"/>
          <w:sz w:val="28"/>
          <w:szCs w:val="28"/>
          <w:highlight w:val="none"/>
          <w:lang w:eastAsia="zh-CN"/>
        </w:rPr>
        <w:t>南昌市土地储备中心</w:t>
      </w:r>
      <w:r>
        <w:rPr>
          <w:rFonts w:hint="eastAsia" w:ascii="方正小标宋简体" w:eastAsia="方正小标宋简体"/>
          <w:sz w:val="28"/>
          <w:szCs w:val="28"/>
          <w:highlight w:val="none"/>
        </w:rPr>
        <w:t>概况</w:t>
      </w:r>
    </w:p>
    <w:p>
      <w:pPr>
        <w:spacing w:line="1000" w:lineRule="exact"/>
        <w:jc w:val="center"/>
        <w:rPr>
          <w:rFonts w:hint="eastAsia" w:ascii="仿宋_GB2312" w:eastAsia="仿宋_GB2312"/>
          <w:b/>
          <w:sz w:val="28"/>
          <w:szCs w:val="28"/>
          <w:highlight w:val="none"/>
        </w:rPr>
      </w:pPr>
    </w:p>
    <w:p>
      <w:pPr>
        <w:numPr>
          <w:ilvl w:val="0"/>
          <w:numId w:val="1"/>
        </w:numPr>
        <w:spacing w:line="540" w:lineRule="exact"/>
        <w:ind w:firstLine="560" w:firstLineChars="200"/>
        <w:rPr>
          <w:rFonts w:hint="eastAsia" w:ascii="黑体" w:eastAsia="黑体"/>
          <w:sz w:val="28"/>
          <w:szCs w:val="28"/>
          <w:highlight w:val="none"/>
        </w:rPr>
      </w:pPr>
      <w:r>
        <w:rPr>
          <w:rFonts w:hint="eastAsia" w:ascii="黑体" w:eastAsia="黑体"/>
          <w:sz w:val="28"/>
          <w:szCs w:val="28"/>
          <w:highlight w:val="none"/>
        </w:rPr>
        <w:t>部门主要职责</w:t>
      </w:r>
    </w:p>
    <w:p>
      <w:pPr>
        <w:spacing w:line="540" w:lineRule="exact"/>
        <w:ind w:firstLine="560" w:firstLineChars="200"/>
        <w:rPr>
          <w:rFonts w:hint="eastAsia" w:ascii="仿宋_GB2312" w:hAnsi="Times New Roman" w:eastAsia="仿宋_GB2312" w:cs="Times New Roman"/>
          <w:sz w:val="28"/>
          <w:szCs w:val="28"/>
          <w:highlight w:val="none"/>
          <w:lang w:eastAsia="zh-CN"/>
        </w:rPr>
      </w:pPr>
      <w:r>
        <w:rPr>
          <w:rFonts w:hint="eastAsia" w:ascii="仿宋_GB2312" w:hAnsi="Times New Roman" w:eastAsia="仿宋_GB2312" w:cs="Times New Roman"/>
          <w:sz w:val="28"/>
          <w:szCs w:val="28"/>
          <w:highlight w:val="none"/>
        </w:rPr>
        <w:t> 南昌市土地储备中心是隶属于南昌市自然资源</w:t>
      </w:r>
      <w:r>
        <w:rPr>
          <w:rFonts w:hint="eastAsia" w:ascii="仿宋_GB2312" w:hAnsi="Times New Roman" w:eastAsia="仿宋_GB2312" w:cs="Times New Roman"/>
          <w:sz w:val="28"/>
          <w:szCs w:val="28"/>
          <w:highlight w:val="none"/>
          <w:lang w:eastAsia="zh-CN"/>
        </w:rPr>
        <w:t>和规划</w:t>
      </w:r>
      <w:r>
        <w:rPr>
          <w:rFonts w:hint="eastAsia" w:ascii="仿宋_GB2312" w:hAnsi="Times New Roman" w:eastAsia="仿宋_GB2312" w:cs="Times New Roman"/>
          <w:sz w:val="28"/>
          <w:szCs w:val="28"/>
          <w:highlight w:val="none"/>
        </w:rPr>
        <w:t>局管理的正处级公益一类</w:t>
      </w:r>
      <w:r>
        <w:rPr>
          <w:rFonts w:hint="eastAsia" w:ascii="仿宋_GB2312" w:hAnsi="Times New Roman" w:eastAsia="仿宋_GB2312" w:cs="Times New Roman"/>
          <w:sz w:val="28"/>
          <w:szCs w:val="28"/>
          <w:highlight w:val="none"/>
          <w:lang w:eastAsia="zh-CN"/>
        </w:rPr>
        <w:t>、</w:t>
      </w:r>
      <w:r>
        <w:rPr>
          <w:rFonts w:hint="eastAsia" w:ascii="仿宋_GB2312" w:hAnsi="Times New Roman" w:eastAsia="仿宋_GB2312" w:cs="Times New Roman"/>
          <w:sz w:val="28"/>
          <w:szCs w:val="28"/>
          <w:highlight w:val="none"/>
        </w:rPr>
        <w:t>财政全额拨款事业单位</w:t>
      </w:r>
      <w:r>
        <w:rPr>
          <w:rFonts w:hint="eastAsia" w:ascii="仿宋_GB2312" w:hAnsi="Times New Roman" w:eastAsia="仿宋_GB2312" w:cs="Times New Roman"/>
          <w:sz w:val="28"/>
          <w:szCs w:val="28"/>
          <w:highlight w:val="none"/>
          <w:lang w:eastAsia="zh-CN"/>
        </w:rPr>
        <w:t>，主要职责是：</w:t>
      </w:r>
    </w:p>
    <w:p>
      <w:pPr>
        <w:numPr>
          <w:ilvl w:val="0"/>
          <w:numId w:val="2"/>
        </w:numPr>
        <w:spacing w:line="540" w:lineRule="exact"/>
        <w:ind w:firstLine="560" w:firstLineChars="200"/>
        <w:rPr>
          <w:rFonts w:hint="eastAsia" w:ascii="仿宋_GB2312" w:hAnsi="Times New Roman" w:eastAsia="仿宋_GB2312" w:cs="Times New Roman"/>
          <w:sz w:val="28"/>
          <w:szCs w:val="28"/>
          <w:highlight w:val="none"/>
        </w:rPr>
      </w:pPr>
      <w:r>
        <w:rPr>
          <w:rFonts w:hint="eastAsia" w:ascii="仿宋_GB2312" w:hAnsi="Times New Roman" w:eastAsia="仿宋_GB2312" w:cs="Times New Roman"/>
          <w:sz w:val="28"/>
          <w:szCs w:val="28"/>
          <w:highlight w:val="none"/>
        </w:rPr>
        <w:t>贯彻落实党中央和省委、市委关于土地储备工作的方针政策和决策部署；</w:t>
      </w:r>
    </w:p>
    <w:p>
      <w:pPr>
        <w:numPr>
          <w:ilvl w:val="0"/>
          <w:numId w:val="2"/>
        </w:numPr>
        <w:spacing w:line="540" w:lineRule="exact"/>
        <w:ind w:firstLine="560" w:firstLineChars="200"/>
        <w:rPr>
          <w:rFonts w:hint="eastAsia" w:ascii="仿宋_GB2312" w:hAnsi="Times New Roman" w:eastAsia="仿宋_GB2312" w:cs="Times New Roman"/>
          <w:sz w:val="28"/>
          <w:szCs w:val="28"/>
          <w:highlight w:val="none"/>
        </w:rPr>
      </w:pPr>
      <w:r>
        <w:rPr>
          <w:rFonts w:hint="eastAsia" w:ascii="仿宋_GB2312" w:hAnsi="Times New Roman" w:eastAsia="仿宋_GB2312" w:cs="Times New Roman"/>
          <w:sz w:val="28"/>
          <w:szCs w:val="28"/>
          <w:highlight w:val="none"/>
        </w:rPr>
        <w:t>承担城市规划区范围内和市级重大重点项目周边土地、片区土地收储和综合开发项目、城市低效产业等项目土地收购储备工作；</w:t>
      </w:r>
    </w:p>
    <w:p>
      <w:pPr>
        <w:numPr>
          <w:ilvl w:val="0"/>
          <w:numId w:val="2"/>
        </w:numPr>
        <w:spacing w:line="540" w:lineRule="exact"/>
        <w:ind w:firstLine="560" w:firstLineChars="200"/>
        <w:rPr>
          <w:rFonts w:hint="eastAsia" w:ascii="仿宋_GB2312" w:hAnsi="Times New Roman" w:eastAsia="仿宋_GB2312" w:cs="Times New Roman"/>
          <w:kern w:val="2"/>
          <w:sz w:val="28"/>
          <w:szCs w:val="28"/>
          <w:highlight w:val="none"/>
          <w:lang w:val="en-US" w:eastAsia="zh-CN" w:bidi="ar-SA"/>
        </w:rPr>
      </w:pPr>
      <w:r>
        <w:rPr>
          <w:rFonts w:hint="eastAsia" w:ascii="仿宋_GB2312" w:hAnsi="Times New Roman" w:eastAsia="仿宋_GB2312" w:cs="Times New Roman"/>
          <w:sz w:val="28"/>
          <w:szCs w:val="28"/>
          <w:highlight w:val="none"/>
        </w:rPr>
        <w:t>承担农村集体建设用地入市前代储相关工作；</w:t>
      </w:r>
    </w:p>
    <w:p>
      <w:pPr>
        <w:numPr>
          <w:ilvl w:val="0"/>
          <w:numId w:val="2"/>
        </w:numPr>
        <w:spacing w:line="540" w:lineRule="exact"/>
        <w:ind w:firstLine="560" w:firstLineChars="200"/>
        <w:rPr>
          <w:rFonts w:hint="eastAsia" w:ascii="仿宋_GB2312" w:hAnsi="Times New Roman" w:eastAsia="仿宋_GB2312" w:cs="Times New Roman"/>
          <w:sz w:val="28"/>
          <w:szCs w:val="28"/>
          <w:highlight w:val="none"/>
        </w:rPr>
      </w:pPr>
      <w:r>
        <w:rPr>
          <w:rFonts w:hint="eastAsia" w:ascii="仿宋_GB2312" w:hAnsi="Times New Roman" w:eastAsia="仿宋_GB2312" w:cs="Times New Roman"/>
          <w:sz w:val="28"/>
          <w:szCs w:val="28"/>
          <w:highlight w:val="none"/>
        </w:rPr>
        <w:t>负责编制全市土地储备中长期规划</w:t>
      </w:r>
      <w:r>
        <w:rPr>
          <w:rFonts w:hint="eastAsia" w:ascii="仿宋_GB2312" w:hAnsi="Times New Roman" w:eastAsia="仿宋_GB2312" w:cs="Times New Roman"/>
          <w:sz w:val="28"/>
          <w:szCs w:val="28"/>
          <w:highlight w:val="none"/>
          <w:lang w:eastAsia="zh-CN"/>
        </w:rPr>
        <w:t>；</w:t>
      </w:r>
    </w:p>
    <w:p>
      <w:pPr>
        <w:numPr>
          <w:ilvl w:val="0"/>
          <w:numId w:val="2"/>
        </w:numPr>
        <w:spacing w:line="540" w:lineRule="exact"/>
        <w:ind w:firstLine="560" w:firstLineChars="200"/>
        <w:rPr>
          <w:rFonts w:hint="eastAsia" w:ascii="仿宋_GB2312" w:hAnsi="Times New Roman" w:eastAsia="仿宋_GB2312" w:cs="Times New Roman"/>
          <w:sz w:val="28"/>
          <w:szCs w:val="28"/>
          <w:highlight w:val="none"/>
        </w:rPr>
      </w:pPr>
      <w:r>
        <w:rPr>
          <w:rFonts w:hint="eastAsia" w:ascii="仿宋_GB2312" w:hAnsi="Times New Roman" w:eastAsia="仿宋_GB2312" w:cs="Times New Roman"/>
          <w:sz w:val="28"/>
          <w:szCs w:val="28"/>
          <w:highlight w:val="none"/>
        </w:rPr>
        <w:t>负责编制土地储备三年滚动计划、年度土地储备计划、年度储备土地前期开发计划、年度储备土地出让计划、年度土地储备筹资计划、年度土地储备出让收支预算等；</w:t>
      </w:r>
    </w:p>
    <w:p>
      <w:pPr>
        <w:numPr>
          <w:ilvl w:val="0"/>
          <w:numId w:val="2"/>
        </w:numPr>
        <w:spacing w:line="540" w:lineRule="exact"/>
        <w:ind w:firstLine="560" w:firstLineChars="200"/>
        <w:rPr>
          <w:rFonts w:hint="eastAsia" w:ascii="仿宋_GB2312" w:hAnsi="Times New Roman" w:eastAsia="仿宋_GB2312" w:cs="Times New Roman"/>
          <w:sz w:val="28"/>
          <w:szCs w:val="28"/>
          <w:highlight w:val="none"/>
        </w:rPr>
      </w:pPr>
      <w:r>
        <w:rPr>
          <w:rFonts w:hint="eastAsia" w:ascii="仿宋_GB2312" w:hAnsi="Times New Roman" w:eastAsia="仿宋_GB2312" w:cs="Times New Roman"/>
          <w:sz w:val="28"/>
          <w:szCs w:val="28"/>
          <w:highlight w:val="none"/>
        </w:rPr>
        <w:t>制定土地储备方案和实施方案；</w:t>
      </w:r>
    </w:p>
    <w:p>
      <w:pPr>
        <w:numPr>
          <w:ilvl w:val="0"/>
          <w:numId w:val="2"/>
        </w:numPr>
        <w:spacing w:line="540" w:lineRule="exact"/>
        <w:ind w:firstLine="560" w:firstLineChars="200"/>
        <w:rPr>
          <w:rFonts w:hint="eastAsia" w:ascii="仿宋_GB2312" w:hAnsi="Times New Roman" w:eastAsia="仿宋_GB2312" w:cs="Times New Roman"/>
          <w:kern w:val="2"/>
          <w:sz w:val="28"/>
          <w:szCs w:val="28"/>
          <w:highlight w:val="none"/>
          <w:lang w:val="en-US" w:eastAsia="zh-CN" w:bidi="ar-SA"/>
        </w:rPr>
      </w:pPr>
      <w:r>
        <w:rPr>
          <w:rFonts w:hint="eastAsia" w:ascii="仿宋_GB2312" w:hAnsi="Times New Roman" w:eastAsia="仿宋_GB2312" w:cs="Times New Roman"/>
          <w:sz w:val="28"/>
          <w:szCs w:val="28"/>
          <w:highlight w:val="none"/>
        </w:rPr>
        <w:t>负责组织开展储备土地前期开发，制定前期开发实施方案，为土地配套、土地供应提供必要保障；</w:t>
      </w:r>
    </w:p>
    <w:p>
      <w:pPr>
        <w:numPr>
          <w:ilvl w:val="0"/>
          <w:numId w:val="2"/>
        </w:numPr>
        <w:spacing w:line="540" w:lineRule="exact"/>
        <w:ind w:firstLine="560" w:firstLineChars="200"/>
        <w:rPr>
          <w:rFonts w:hint="eastAsia" w:ascii="仿宋_GB2312" w:hAnsi="Times New Roman" w:eastAsia="仿宋_GB2312" w:cs="Times New Roman"/>
          <w:sz w:val="28"/>
          <w:szCs w:val="28"/>
          <w:highlight w:val="none"/>
        </w:rPr>
      </w:pPr>
      <w:r>
        <w:rPr>
          <w:rFonts w:hint="eastAsia" w:ascii="仿宋_GB2312" w:hAnsi="Times New Roman" w:eastAsia="仿宋_GB2312" w:cs="Times New Roman"/>
          <w:sz w:val="28"/>
          <w:szCs w:val="28"/>
          <w:highlight w:val="none"/>
        </w:rPr>
        <w:t>建立全市统一的储备土地库，理清入库储备土地产权，评估入库储备土地的资产价值，编制土地储备资产负债表；</w:t>
      </w:r>
    </w:p>
    <w:p>
      <w:pPr>
        <w:numPr>
          <w:ilvl w:val="0"/>
          <w:numId w:val="2"/>
        </w:numPr>
        <w:spacing w:line="540" w:lineRule="exact"/>
        <w:ind w:firstLine="560" w:firstLineChars="200"/>
        <w:rPr>
          <w:rFonts w:hint="eastAsia" w:ascii="仿宋_GB2312" w:hAnsi="Times New Roman" w:eastAsia="仿宋_GB2312" w:cs="Times New Roman"/>
          <w:sz w:val="28"/>
          <w:szCs w:val="28"/>
          <w:highlight w:val="none"/>
        </w:rPr>
      </w:pPr>
      <w:r>
        <w:rPr>
          <w:rFonts w:hint="eastAsia" w:ascii="仿宋_GB2312" w:hAnsi="Times New Roman" w:eastAsia="仿宋_GB2312" w:cs="Times New Roman"/>
          <w:sz w:val="28"/>
          <w:szCs w:val="28"/>
          <w:highlight w:val="none"/>
        </w:rPr>
        <w:t>负责筹措管理土地储备资金</w:t>
      </w:r>
      <w:r>
        <w:rPr>
          <w:rFonts w:hint="eastAsia" w:ascii="仿宋_GB2312" w:hAnsi="Times New Roman" w:eastAsia="仿宋_GB2312" w:cs="Times New Roman"/>
          <w:sz w:val="28"/>
          <w:szCs w:val="28"/>
          <w:highlight w:val="none"/>
          <w:lang w:eastAsia="zh-CN"/>
        </w:rPr>
        <w:t>；</w:t>
      </w:r>
    </w:p>
    <w:p>
      <w:pPr>
        <w:numPr>
          <w:ilvl w:val="0"/>
          <w:numId w:val="2"/>
        </w:numPr>
        <w:spacing w:line="540" w:lineRule="exact"/>
        <w:ind w:firstLine="560" w:firstLineChars="200"/>
        <w:rPr>
          <w:rFonts w:hint="eastAsia" w:ascii="仿宋_GB2312" w:eastAsia="仿宋_GB2312"/>
          <w:sz w:val="28"/>
          <w:szCs w:val="28"/>
          <w:highlight w:val="none"/>
        </w:rPr>
      </w:pPr>
      <w:r>
        <w:rPr>
          <w:rFonts w:hint="eastAsia" w:ascii="仿宋_GB2312" w:hAnsi="Times New Roman" w:eastAsia="仿宋_GB2312" w:cs="Times New Roman"/>
          <w:sz w:val="28"/>
          <w:szCs w:val="28"/>
          <w:highlight w:val="none"/>
        </w:rPr>
        <w:t>承担市土地储备委员会、市土地储备工作推进领导小组的日常工作</w:t>
      </w:r>
      <w:r>
        <w:rPr>
          <w:rFonts w:hint="eastAsia" w:ascii="仿宋_GB2312" w:hAnsi="Times New Roman" w:eastAsia="仿宋_GB2312" w:cs="Times New Roman"/>
          <w:sz w:val="28"/>
          <w:szCs w:val="28"/>
          <w:highlight w:val="none"/>
          <w:lang w:eastAsia="zh-CN"/>
        </w:rPr>
        <w:t>。</w:t>
      </w:r>
    </w:p>
    <w:p>
      <w:pPr>
        <w:numPr>
          <w:ilvl w:val="0"/>
          <w:numId w:val="1"/>
        </w:numPr>
        <w:spacing w:line="540" w:lineRule="exact"/>
        <w:ind w:left="0" w:leftChars="0" w:firstLine="560" w:firstLineChars="200"/>
        <w:rPr>
          <w:rFonts w:hint="eastAsia" w:ascii="黑体" w:eastAsia="黑体"/>
          <w:sz w:val="28"/>
          <w:szCs w:val="28"/>
          <w:highlight w:val="none"/>
        </w:rPr>
      </w:pPr>
      <w:r>
        <w:rPr>
          <w:rFonts w:hint="eastAsia" w:ascii="黑体" w:eastAsia="黑体"/>
          <w:sz w:val="28"/>
          <w:szCs w:val="28"/>
          <w:highlight w:val="none"/>
        </w:rPr>
        <w:t>部门202</w:t>
      </w:r>
      <w:r>
        <w:rPr>
          <w:rFonts w:hint="eastAsia" w:ascii="黑体" w:eastAsia="黑体"/>
          <w:sz w:val="28"/>
          <w:szCs w:val="28"/>
          <w:highlight w:val="none"/>
          <w:lang w:val="en-US" w:eastAsia="zh-CN"/>
        </w:rPr>
        <w:t>2</w:t>
      </w:r>
      <w:r>
        <w:rPr>
          <w:rFonts w:hint="eastAsia" w:ascii="黑体" w:eastAsia="黑体"/>
          <w:sz w:val="28"/>
          <w:szCs w:val="28"/>
          <w:highlight w:val="none"/>
        </w:rPr>
        <w:t>年主要工作任务</w:t>
      </w:r>
    </w:p>
    <w:p>
      <w:pPr>
        <w:spacing w:line="540" w:lineRule="exact"/>
        <w:ind w:firstLine="560" w:firstLineChars="200"/>
        <w:rPr>
          <w:rFonts w:hint="eastAsia" w:ascii="仿宋_GB2312" w:hAnsi="Times New Roman" w:eastAsia="仿宋_GB2312" w:cs="Times New Roman"/>
          <w:sz w:val="28"/>
          <w:szCs w:val="28"/>
          <w:highlight w:val="none"/>
          <w:lang w:eastAsia="zh-CN"/>
        </w:rPr>
      </w:pPr>
      <w:r>
        <w:rPr>
          <w:rFonts w:hint="eastAsia" w:ascii="仿宋_GB2312" w:hAnsi="Times New Roman" w:eastAsia="仿宋_GB2312" w:cs="Times New Roman"/>
          <w:sz w:val="28"/>
          <w:szCs w:val="28"/>
          <w:highlight w:val="none"/>
          <w:lang w:eastAsia="zh-CN"/>
        </w:rPr>
        <w:t>2022年，南昌市土地储备中心将按照国家、省、市要求，紧紧围绕全市发展大局，牢牢把握“稳字当头、稳中求进”的工作总基调，大力践行“脚上有土、心中有谱”的一线工作法，继续秉承“规划引领、储优做精，要素保障、市场导向，熟地出让、精准投放，科学合理、多快好省”的指导思想，进一步优化和规范土地储备管理机制体制，理清思路，探寻路径，创新举措，从供应导向向“供应导向”与“要素保障”并举转变，从收储经营性用地为主向全口径收储转变，充分发挥</w:t>
      </w:r>
      <w:r>
        <w:rPr>
          <w:rFonts w:hint="eastAsia" w:ascii="仿宋_GB2312" w:hAnsi="Times New Roman" w:eastAsia="仿宋_GB2312" w:cs="Times New Roman"/>
          <w:sz w:val="28"/>
          <w:szCs w:val="28"/>
          <w:highlight w:val="none"/>
          <w:lang w:val="en-US" w:eastAsia="zh-CN"/>
        </w:rPr>
        <w:t>土</w:t>
      </w:r>
      <w:r>
        <w:rPr>
          <w:rFonts w:hint="eastAsia" w:ascii="仿宋_GB2312" w:hAnsi="Times New Roman" w:eastAsia="仿宋_GB2312" w:cs="Times New Roman"/>
          <w:sz w:val="28"/>
          <w:szCs w:val="28"/>
          <w:highlight w:val="none"/>
          <w:lang w:eastAsia="zh-CN"/>
        </w:rPr>
        <w:t>地储备在落实</w:t>
      </w:r>
      <w:r>
        <w:rPr>
          <w:rFonts w:hint="eastAsia" w:ascii="仿宋_GB2312" w:hAnsi="Times New Roman" w:eastAsia="仿宋_GB2312" w:cs="Times New Roman"/>
          <w:sz w:val="28"/>
          <w:szCs w:val="28"/>
          <w:highlight w:val="none"/>
          <w:lang w:val="en-US" w:eastAsia="zh-CN"/>
        </w:rPr>
        <w:t>国土空间</w:t>
      </w:r>
      <w:r>
        <w:rPr>
          <w:rFonts w:hint="eastAsia" w:ascii="仿宋_GB2312" w:hAnsi="Times New Roman" w:eastAsia="仿宋_GB2312" w:cs="Times New Roman"/>
          <w:sz w:val="28"/>
          <w:szCs w:val="28"/>
          <w:highlight w:val="none"/>
          <w:lang w:eastAsia="zh-CN"/>
        </w:rPr>
        <w:t>规划、提供土地和资金要素保障、助推城市重大发展战略、优化营商环境等方面的作用，为全市高质量跨越式发展提供要素保障。</w:t>
      </w:r>
    </w:p>
    <w:p>
      <w:pPr>
        <w:spacing w:line="54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202</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年的主要工作任务是</w:t>
      </w:r>
      <w:r>
        <w:rPr>
          <w:rFonts w:hint="eastAsia" w:ascii="仿宋_GB2312" w:eastAsia="仿宋_GB2312"/>
          <w:sz w:val="28"/>
          <w:szCs w:val="28"/>
          <w:highlight w:val="none"/>
          <w:lang w:eastAsia="zh-CN"/>
        </w:rPr>
        <w:t>：</w:t>
      </w:r>
      <w:r>
        <w:rPr>
          <w:rFonts w:hint="eastAsia" w:ascii="仿宋_GB2312" w:hAnsi="Times New Roman" w:eastAsia="仿宋_GB2312" w:cs="Times New Roman"/>
          <w:sz w:val="28"/>
          <w:szCs w:val="28"/>
          <w:highlight w:val="none"/>
          <w:lang w:eastAsia="zh-CN"/>
        </w:rPr>
        <w:t>坚持规划引领，做好各类规划、年度计划编制工作；坚持强化统筹，实现“一个池子蓄水，一个龙头放水”；坚持科学收储、助力我市高质量跨越式发展；坚持熟地出让、优地出让、精准出让；坚持服务旧改棚改，强化要素保障；坚持“储优做精”，重点是在“做精”上下功夫；完善土地储备全生命周期管理制度体系；强化储备土地资产管理；进一步理顺工作职能；加强干部队伍建设从严管理</w:t>
      </w:r>
      <w:r>
        <w:rPr>
          <w:rFonts w:hint="eastAsia" w:ascii="仿宋_GB2312" w:eastAsia="仿宋_GB2312"/>
          <w:sz w:val="28"/>
          <w:szCs w:val="28"/>
          <w:highlight w:val="none"/>
        </w:rPr>
        <w:t>。</w:t>
      </w:r>
    </w:p>
    <w:p>
      <w:pPr>
        <w:spacing w:line="540" w:lineRule="exact"/>
        <w:ind w:firstLine="560" w:firstLineChars="200"/>
        <w:rPr>
          <w:rFonts w:hint="eastAsia" w:ascii="黑体" w:eastAsia="黑体"/>
          <w:sz w:val="28"/>
          <w:szCs w:val="28"/>
          <w:highlight w:val="none"/>
        </w:rPr>
      </w:pPr>
      <w:r>
        <w:rPr>
          <w:rFonts w:hint="eastAsia" w:ascii="黑体" w:eastAsia="黑体"/>
          <w:sz w:val="28"/>
          <w:szCs w:val="28"/>
          <w:highlight w:val="none"/>
        </w:rPr>
        <w:t>三、部门基本情况</w:t>
      </w:r>
    </w:p>
    <w:p>
      <w:pPr>
        <w:spacing w:line="54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lang w:eastAsia="zh-CN"/>
        </w:rPr>
        <w:t>南昌市土地储备中心</w:t>
      </w:r>
      <w:r>
        <w:rPr>
          <w:rFonts w:hint="eastAsia" w:ascii="仿宋_GB2312" w:eastAsia="仿宋_GB2312"/>
          <w:sz w:val="28"/>
          <w:szCs w:val="28"/>
          <w:highlight w:val="none"/>
        </w:rPr>
        <w:t>编制人数</w:t>
      </w:r>
      <w:r>
        <w:rPr>
          <w:rFonts w:hint="eastAsia" w:ascii="仿宋_GB2312" w:eastAsia="仿宋_GB2312"/>
          <w:sz w:val="28"/>
          <w:szCs w:val="28"/>
          <w:highlight w:val="none"/>
          <w:lang w:val="en-US" w:eastAsia="zh-CN"/>
        </w:rPr>
        <w:t>64</w:t>
      </w:r>
      <w:r>
        <w:rPr>
          <w:rFonts w:hint="eastAsia" w:ascii="仿宋_GB2312" w:eastAsia="仿宋_GB2312"/>
          <w:sz w:val="28"/>
          <w:szCs w:val="28"/>
          <w:highlight w:val="none"/>
        </w:rPr>
        <w:t>人，全部补助事业人员</w:t>
      </w:r>
      <w:r>
        <w:rPr>
          <w:rFonts w:hint="eastAsia" w:ascii="仿宋_GB2312" w:eastAsia="仿宋_GB2312"/>
          <w:sz w:val="28"/>
          <w:szCs w:val="28"/>
          <w:highlight w:val="none"/>
          <w:lang w:val="en-US" w:eastAsia="zh-CN"/>
        </w:rPr>
        <w:t>57</w:t>
      </w:r>
      <w:r>
        <w:rPr>
          <w:rFonts w:hint="eastAsia" w:ascii="仿宋_GB2312" w:eastAsia="仿宋_GB2312"/>
          <w:sz w:val="28"/>
          <w:szCs w:val="28"/>
          <w:highlight w:val="none"/>
        </w:rPr>
        <w:t>人</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退休人员</w:t>
      </w:r>
      <w:r>
        <w:rPr>
          <w:rFonts w:hint="eastAsia" w:ascii="仿宋_GB2312" w:eastAsia="仿宋_GB2312"/>
          <w:sz w:val="28"/>
          <w:szCs w:val="28"/>
          <w:highlight w:val="none"/>
          <w:lang w:val="en-US" w:eastAsia="zh-CN"/>
        </w:rPr>
        <w:t>11</w:t>
      </w:r>
      <w:r>
        <w:rPr>
          <w:rFonts w:hint="eastAsia" w:ascii="仿宋_GB2312" w:eastAsia="仿宋_GB2312"/>
          <w:sz w:val="28"/>
          <w:szCs w:val="28"/>
          <w:highlight w:val="none"/>
        </w:rPr>
        <w:t>人</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其他</w:t>
      </w:r>
      <w:r>
        <w:rPr>
          <w:rFonts w:hint="eastAsia" w:ascii="仿宋_GB2312" w:eastAsia="仿宋_GB2312"/>
          <w:sz w:val="28"/>
          <w:szCs w:val="28"/>
          <w:highlight w:val="none"/>
          <w:lang w:eastAsia="zh-CN"/>
        </w:rPr>
        <w:t>人员</w:t>
      </w:r>
      <w:r>
        <w:rPr>
          <w:rFonts w:hint="eastAsia" w:ascii="仿宋_GB2312" w:eastAsia="仿宋_GB2312"/>
          <w:sz w:val="28"/>
          <w:szCs w:val="28"/>
          <w:highlight w:val="none"/>
          <w:lang w:val="en-US" w:eastAsia="zh-CN"/>
        </w:rPr>
        <w:t>46</w:t>
      </w:r>
      <w:r>
        <w:rPr>
          <w:rFonts w:hint="eastAsia" w:ascii="仿宋_GB2312" w:eastAsia="仿宋_GB2312"/>
          <w:sz w:val="28"/>
          <w:szCs w:val="28"/>
          <w:highlight w:val="none"/>
        </w:rPr>
        <w:t>人。</w:t>
      </w:r>
    </w:p>
    <w:p>
      <w:pPr>
        <w:spacing w:line="540" w:lineRule="exact"/>
        <w:ind w:firstLine="560" w:firstLineChars="200"/>
        <w:rPr>
          <w:rFonts w:hint="eastAsia" w:ascii="仿宋_GB2312" w:eastAsia="仿宋_GB2312"/>
          <w:sz w:val="28"/>
          <w:szCs w:val="28"/>
          <w:highlight w:val="none"/>
        </w:rPr>
      </w:pPr>
    </w:p>
    <w:p>
      <w:pPr>
        <w:spacing w:line="540" w:lineRule="exact"/>
        <w:jc w:val="center"/>
        <w:rPr>
          <w:rFonts w:hint="eastAsia" w:ascii="方正小标宋简体" w:eastAsia="方正小标宋简体"/>
          <w:sz w:val="28"/>
          <w:szCs w:val="28"/>
        </w:rPr>
      </w:pPr>
      <w:r>
        <w:rPr>
          <w:rFonts w:hint="eastAsia" w:ascii="方正小标宋简体" w:eastAsia="方正小标宋简体"/>
          <w:sz w:val="28"/>
          <w:szCs w:val="28"/>
        </w:rPr>
        <w:t>第</w:t>
      </w:r>
      <w:r>
        <w:rPr>
          <w:rFonts w:hint="eastAsia" w:ascii="方正小标宋简体" w:eastAsia="方正小标宋简体"/>
          <w:sz w:val="28"/>
          <w:szCs w:val="28"/>
          <w:lang w:eastAsia="zh-CN"/>
        </w:rPr>
        <w:t>二</w:t>
      </w:r>
      <w:r>
        <w:rPr>
          <w:rFonts w:hint="eastAsia" w:ascii="方正小标宋简体" w:eastAsia="方正小标宋简体"/>
          <w:sz w:val="28"/>
          <w:szCs w:val="28"/>
        </w:rPr>
        <w:t xml:space="preserve">部分 </w:t>
      </w:r>
      <w:r>
        <w:rPr>
          <w:rFonts w:hint="eastAsia" w:ascii="方正小标宋简体" w:eastAsia="方正小标宋简体"/>
          <w:sz w:val="28"/>
          <w:szCs w:val="28"/>
          <w:highlight w:val="none"/>
        </w:rPr>
        <w:t xml:space="preserve"> </w:t>
      </w:r>
      <w:r>
        <w:rPr>
          <w:rFonts w:hint="eastAsia" w:ascii="方正小标宋简体" w:eastAsia="方正小标宋简体"/>
          <w:sz w:val="28"/>
          <w:szCs w:val="28"/>
          <w:highlight w:val="none"/>
          <w:lang w:eastAsia="zh-CN"/>
        </w:rPr>
        <w:t>南昌市土地储备中心</w:t>
      </w:r>
      <w:r>
        <w:rPr>
          <w:rFonts w:hint="eastAsia" w:ascii="方正小标宋简体" w:eastAsia="方正小标宋简体"/>
          <w:sz w:val="28"/>
          <w:szCs w:val="28"/>
        </w:rPr>
        <w:t>202</w:t>
      </w:r>
      <w:r>
        <w:rPr>
          <w:rFonts w:hint="eastAsia" w:ascii="方正小标宋简体" w:eastAsia="方正小标宋简体"/>
          <w:sz w:val="28"/>
          <w:szCs w:val="28"/>
          <w:lang w:val="en-US" w:eastAsia="zh-CN"/>
        </w:rPr>
        <w:t>2</w:t>
      </w:r>
      <w:r>
        <w:rPr>
          <w:rFonts w:hint="eastAsia" w:ascii="方正小标宋简体" w:eastAsia="方正小标宋简体"/>
          <w:sz w:val="28"/>
          <w:szCs w:val="28"/>
        </w:rPr>
        <w:t>年部门预算表</w:t>
      </w:r>
    </w:p>
    <w:p>
      <w:pPr>
        <w:widowControl/>
        <w:spacing w:line="540" w:lineRule="exact"/>
        <w:jc w:val="left"/>
        <w:rPr>
          <w:rFonts w:hint="eastAsia" w:ascii="仿宋_GB2312" w:eastAsia="仿宋_GB2312"/>
          <w:b/>
          <w:sz w:val="28"/>
          <w:szCs w:val="28"/>
        </w:rPr>
      </w:pPr>
    </w:p>
    <w:p>
      <w:pPr>
        <w:widowControl/>
        <w:spacing w:line="52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一、《收支预算总表》</w:t>
      </w:r>
    </w:p>
    <w:p>
      <w:pPr>
        <w:widowControl/>
        <w:spacing w:line="52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二、《部门收入总表》</w:t>
      </w:r>
    </w:p>
    <w:p>
      <w:pPr>
        <w:widowControl/>
        <w:spacing w:line="52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三、《部门支出总表》</w:t>
      </w:r>
    </w:p>
    <w:p>
      <w:pPr>
        <w:widowControl/>
        <w:spacing w:line="520" w:lineRule="exact"/>
        <w:ind w:firstLine="560" w:firstLineChars="200"/>
        <w:rPr>
          <w:rFonts w:hint="eastAsia" w:ascii="仿宋_GB2312" w:hAnsi="仿宋_GB2312" w:eastAsia="仿宋_GB2312" w:cs="仿宋_GB2312"/>
          <w:sz w:val="28"/>
          <w:szCs w:val="28"/>
          <w:highlight w:val="none"/>
        </w:rPr>
      </w:pPr>
      <w:r>
        <w:rPr>
          <w:rFonts w:hint="eastAsia" w:ascii="仿宋_GB2312" w:eastAsia="仿宋_GB2312"/>
          <w:sz w:val="28"/>
          <w:szCs w:val="28"/>
          <w:highlight w:val="none"/>
        </w:rPr>
        <w:t>四、《财政</w:t>
      </w:r>
      <w:r>
        <w:rPr>
          <w:rFonts w:hint="eastAsia" w:ascii="仿宋_GB2312" w:hAnsi="仿宋_GB2312" w:eastAsia="仿宋_GB2312" w:cs="仿宋_GB2312"/>
          <w:sz w:val="28"/>
          <w:szCs w:val="28"/>
          <w:highlight w:val="none"/>
        </w:rPr>
        <w:t>拨款收支总表》</w:t>
      </w:r>
    </w:p>
    <w:p>
      <w:pPr>
        <w:widowControl/>
        <w:spacing w:line="52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五、《一般公共预算支出表》</w:t>
      </w:r>
    </w:p>
    <w:p>
      <w:pPr>
        <w:widowControl/>
        <w:spacing w:line="52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六、《一般公共预算基本支出表》</w:t>
      </w:r>
    </w:p>
    <w:p>
      <w:pPr>
        <w:widowControl/>
        <w:spacing w:line="52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七、《一般公共预算“三公”经费支出表》</w:t>
      </w:r>
    </w:p>
    <w:p>
      <w:pPr>
        <w:widowControl/>
        <w:spacing w:line="52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八、《政府性基金预算支出表》</w:t>
      </w:r>
    </w:p>
    <w:p>
      <w:pPr>
        <w:widowControl/>
        <w:spacing w:line="52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eastAsia="zh-CN"/>
        </w:rPr>
        <w:t>九、《国有资本经营预算支出表》</w:t>
      </w:r>
    </w:p>
    <w:p>
      <w:pPr>
        <w:widowControl/>
        <w:spacing w:line="52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eastAsia="zh-CN"/>
        </w:rPr>
        <w:t>十</w:t>
      </w:r>
      <w:r>
        <w:rPr>
          <w:rFonts w:hint="eastAsia" w:ascii="仿宋_GB2312" w:hAnsi="仿宋_GB2312" w:eastAsia="仿宋_GB2312" w:cs="仿宋_GB2312"/>
          <w:sz w:val="28"/>
          <w:szCs w:val="28"/>
          <w:highlight w:val="none"/>
        </w:rPr>
        <w:t>、《项目支出绩效目标表》</w:t>
      </w:r>
    </w:p>
    <w:p>
      <w:pPr>
        <w:widowControl/>
        <w:spacing w:line="520" w:lineRule="exact"/>
        <w:ind w:firstLine="560" w:firstLineChars="200"/>
        <w:rPr>
          <w:rFonts w:hint="eastAsia" w:ascii="仿宋_GB2312" w:eastAsia="仿宋_GB2312"/>
          <w:sz w:val="28"/>
          <w:szCs w:val="28"/>
          <w:highlight w:val="none"/>
        </w:rPr>
      </w:pPr>
      <w:r>
        <w:rPr>
          <w:rFonts w:hint="eastAsia" w:ascii="仿宋_GB2312" w:hAnsi="仿宋_GB2312" w:eastAsia="仿宋_GB2312" w:cs="仿宋_GB2312"/>
          <w:sz w:val="28"/>
          <w:szCs w:val="28"/>
          <w:highlight w:val="none"/>
        </w:rPr>
        <w:t>十</w:t>
      </w:r>
      <w:r>
        <w:rPr>
          <w:rFonts w:hint="eastAsia" w:ascii="仿宋_GB2312" w:hAnsi="仿宋_GB2312" w:eastAsia="仿宋_GB2312" w:cs="仿宋_GB2312"/>
          <w:sz w:val="28"/>
          <w:szCs w:val="28"/>
          <w:highlight w:val="none"/>
          <w:lang w:eastAsia="zh-CN"/>
        </w:rPr>
        <w:t>一</w:t>
      </w:r>
      <w:r>
        <w:rPr>
          <w:rFonts w:hint="eastAsia" w:ascii="仿宋_GB2312" w:hAnsi="仿宋_GB2312" w:eastAsia="仿宋_GB2312" w:cs="仿宋_GB2312"/>
          <w:sz w:val="28"/>
          <w:szCs w:val="28"/>
          <w:highlight w:val="none"/>
        </w:rPr>
        <w:t>、《部门整体支出绩效目标表》</w:t>
      </w:r>
    </w:p>
    <w:p>
      <w:pPr>
        <w:widowControl/>
        <w:spacing w:line="540" w:lineRule="exact"/>
        <w:ind w:firstLine="560" w:firstLineChars="200"/>
        <w:jc w:val="left"/>
        <w:rPr>
          <w:rFonts w:hint="eastAsia" w:ascii="仿宋_GB2312" w:eastAsia="仿宋_GB2312"/>
          <w:sz w:val="28"/>
          <w:szCs w:val="28"/>
          <w:highlight w:val="none"/>
        </w:rPr>
      </w:pPr>
      <w:r>
        <w:rPr>
          <w:rFonts w:hint="eastAsia" w:ascii="仿宋_GB2312" w:eastAsia="仿宋_GB2312"/>
          <w:sz w:val="28"/>
          <w:szCs w:val="28"/>
          <w:highlight w:val="none"/>
        </w:rPr>
        <w:t>（</w:t>
      </w:r>
      <w:r>
        <w:rPr>
          <w:rFonts w:hint="eastAsia" w:ascii="仿宋_GB2312" w:hAnsi="Times New Roman" w:eastAsia="仿宋_GB2312" w:cs="Times New Roman"/>
          <w:sz w:val="28"/>
          <w:szCs w:val="28"/>
          <w:highlight w:val="none"/>
          <w:lang w:eastAsia="zh-CN"/>
        </w:rPr>
        <w:t>注：①</w:t>
      </w:r>
      <w:r>
        <w:rPr>
          <w:rFonts w:hint="eastAsia" w:ascii="仿宋_GB2312" w:hAnsi="Times New Roman" w:eastAsia="仿宋_GB2312" w:cs="Times New Roman"/>
          <w:color w:val="auto"/>
          <w:sz w:val="28"/>
          <w:szCs w:val="28"/>
          <w:highlight w:val="none"/>
          <w:lang w:val="en-US" w:eastAsia="zh-CN" w:bidi="ar-SA"/>
        </w:rPr>
        <w:t>由于本说明中数据四舍五入原因，部分汇总数据与分项加总之和可能存在尾差；②表格</w:t>
      </w:r>
      <w:r>
        <w:rPr>
          <w:rFonts w:hint="eastAsia" w:ascii="仿宋_GB2312" w:eastAsia="仿宋_GB2312"/>
          <w:sz w:val="28"/>
          <w:szCs w:val="28"/>
          <w:highlight w:val="none"/>
        </w:rPr>
        <w:t>详见附件，若其中某张表为空表或表中数据为0，则说明没有相关收支预算安排。）</w:t>
      </w:r>
    </w:p>
    <w:p>
      <w:pPr>
        <w:spacing w:line="540" w:lineRule="exact"/>
        <w:jc w:val="both"/>
        <w:rPr>
          <w:rFonts w:hint="eastAsia" w:ascii="方正小标宋简体" w:eastAsia="方正小标宋简体"/>
          <w:sz w:val="28"/>
          <w:szCs w:val="28"/>
          <w:highlight w:val="none"/>
        </w:rPr>
      </w:pPr>
    </w:p>
    <w:p>
      <w:pPr>
        <w:spacing w:line="540" w:lineRule="exact"/>
        <w:jc w:val="center"/>
        <w:rPr>
          <w:rFonts w:hint="eastAsia" w:ascii="方正小标宋简体" w:eastAsia="方正小标宋简体"/>
          <w:sz w:val="28"/>
          <w:szCs w:val="28"/>
          <w:highlight w:val="none"/>
        </w:rPr>
      </w:pPr>
      <w:r>
        <w:rPr>
          <w:rFonts w:hint="eastAsia" w:ascii="方正小标宋简体" w:eastAsia="方正小标宋简体"/>
          <w:sz w:val="28"/>
          <w:szCs w:val="28"/>
          <w:highlight w:val="none"/>
        </w:rPr>
        <w:t>第</w:t>
      </w:r>
      <w:r>
        <w:rPr>
          <w:rFonts w:hint="eastAsia" w:ascii="方正小标宋简体" w:eastAsia="方正小标宋简体"/>
          <w:sz w:val="28"/>
          <w:szCs w:val="28"/>
          <w:highlight w:val="none"/>
          <w:lang w:val="en-US" w:eastAsia="zh-CN"/>
        </w:rPr>
        <w:t>三</w:t>
      </w:r>
      <w:r>
        <w:rPr>
          <w:rFonts w:hint="eastAsia" w:ascii="方正小标宋简体" w:eastAsia="方正小标宋简体"/>
          <w:sz w:val="28"/>
          <w:szCs w:val="28"/>
          <w:highlight w:val="none"/>
        </w:rPr>
        <w:t xml:space="preserve">部分  </w:t>
      </w:r>
      <w:r>
        <w:rPr>
          <w:rFonts w:hint="eastAsia" w:ascii="方正小标宋简体" w:eastAsia="方正小标宋简体"/>
          <w:sz w:val="28"/>
          <w:szCs w:val="28"/>
          <w:highlight w:val="none"/>
          <w:lang w:eastAsia="zh-CN"/>
        </w:rPr>
        <w:t>南昌市土地储备中心</w:t>
      </w:r>
      <w:r>
        <w:rPr>
          <w:rFonts w:hint="eastAsia" w:ascii="方正小标宋简体" w:eastAsia="方正小标宋简体"/>
          <w:sz w:val="28"/>
          <w:szCs w:val="28"/>
          <w:highlight w:val="none"/>
        </w:rPr>
        <w:t>202</w:t>
      </w:r>
      <w:r>
        <w:rPr>
          <w:rFonts w:hint="eastAsia" w:ascii="方正小标宋简体" w:eastAsia="方正小标宋简体"/>
          <w:sz w:val="28"/>
          <w:szCs w:val="28"/>
          <w:highlight w:val="none"/>
          <w:lang w:val="en-US" w:eastAsia="zh-CN"/>
        </w:rPr>
        <w:t>2</w:t>
      </w:r>
      <w:r>
        <w:rPr>
          <w:rFonts w:hint="eastAsia" w:ascii="方正小标宋简体" w:eastAsia="方正小标宋简体"/>
          <w:sz w:val="28"/>
          <w:szCs w:val="28"/>
          <w:highlight w:val="none"/>
        </w:rPr>
        <w:t>年部门预算情况说明</w:t>
      </w:r>
    </w:p>
    <w:p>
      <w:pPr>
        <w:spacing w:line="540" w:lineRule="exact"/>
        <w:rPr>
          <w:rFonts w:hint="eastAsia" w:ascii="仿宋_GB2312" w:eastAsia="仿宋_GB2312"/>
          <w:sz w:val="28"/>
          <w:szCs w:val="28"/>
          <w:highlight w:val="none"/>
        </w:rPr>
      </w:pPr>
    </w:p>
    <w:p>
      <w:pPr>
        <w:spacing w:line="540" w:lineRule="exact"/>
        <w:ind w:firstLine="560" w:firstLineChars="200"/>
        <w:rPr>
          <w:rFonts w:hint="eastAsia" w:ascii="黑体" w:eastAsia="黑体"/>
          <w:sz w:val="28"/>
          <w:szCs w:val="28"/>
          <w:highlight w:val="none"/>
        </w:rPr>
      </w:pPr>
      <w:r>
        <w:rPr>
          <w:rFonts w:hint="eastAsia" w:ascii="黑体" w:eastAsia="黑体"/>
          <w:sz w:val="28"/>
          <w:szCs w:val="28"/>
          <w:highlight w:val="none"/>
        </w:rPr>
        <w:t>一、部门预算收支情况说明</w:t>
      </w:r>
    </w:p>
    <w:p>
      <w:pPr>
        <w:spacing w:line="540" w:lineRule="exact"/>
        <w:ind w:firstLine="562" w:firstLineChars="200"/>
        <w:rPr>
          <w:rFonts w:hint="eastAsia" w:ascii="楷体_GB2312" w:hAnsi="楷体_GB2312" w:eastAsia="楷体_GB2312" w:cs="楷体_GB2312"/>
          <w:b/>
          <w:sz w:val="28"/>
          <w:szCs w:val="28"/>
          <w:highlight w:val="none"/>
        </w:rPr>
      </w:pPr>
      <w:r>
        <w:rPr>
          <w:rFonts w:hint="eastAsia" w:ascii="楷体_GB2312" w:hAnsi="楷体_GB2312" w:eastAsia="楷体_GB2312" w:cs="楷体_GB2312"/>
          <w:b/>
          <w:sz w:val="28"/>
          <w:szCs w:val="28"/>
          <w:highlight w:val="none"/>
        </w:rPr>
        <w:t>（一）收入预算情况</w:t>
      </w:r>
    </w:p>
    <w:p>
      <w:pPr>
        <w:spacing w:line="54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2022年南昌市土地储备中心收入预算总额为1701.84万元，</w:t>
      </w:r>
      <w:r>
        <w:rPr>
          <w:rFonts w:hint="eastAsia" w:ascii="仿宋_GB2312" w:eastAsia="仿宋_GB2312"/>
          <w:sz w:val="28"/>
          <w:szCs w:val="28"/>
          <w:highlight w:val="none"/>
          <w:lang w:val="en-US" w:eastAsia="zh-CN"/>
        </w:rPr>
        <w:t>全为财政拨款收入，较</w:t>
      </w:r>
      <w:r>
        <w:rPr>
          <w:rFonts w:hint="eastAsia" w:ascii="仿宋_GB2312" w:eastAsia="仿宋_GB2312"/>
          <w:sz w:val="28"/>
          <w:szCs w:val="28"/>
          <w:highlight w:val="none"/>
        </w:rPr>
        <w:t>上年增加</w:t>
      </w:r>
      <w:r>
        <w:rPr>
          <w:rFonts w:hint="eastAsia" w:ascii="仿宋_GB2312" w:eastAsia="仿宋_GB2312"/>
          <w:sz w:val="28"/>
          <w:szCs w:val="28"/>
          <w:highlight w:val="none"/>
          <w:lang w:val="en-US" w:eastAsia="zh-CN"/>
        </w:rPr>
        <w:t>44.43</w:t>
      </w:r>
      <w:r>
        <w:rPr>
          <w:rFonts w:hint="eastAsia" w:ascii="仿宋_GB2312" w:eastAsia="仿宋_GB2312"/>
          <w:sz w:val="28"/>
          <w:szCs w:val="28"/>
          <w:highlight w:val="none"/>
        </w:rPr>
        <w:t>万元，增长</w:t>
      </w:r>
      <w:r>
        <w:rPr>
          <w:rFonts w:hint="eastAsia" w:ascii="仿宋_GB2312" w:eastAsia="仿宋_GB2312"/>
          <w:sz w:val="28"/>
          <w:szCs w:val="28"/>
          <w:highlight w:val="none"/>
          <w:lang w:val="en-US" w:eastAsia="zh-CN"/>
        </w:rPr>
        <w:t>2.68</w:t>
      </w:r>
      <w:r>
        <w:rPr>
          <w:rFonts w:hint="eastAsia" w:ascii="仿宋_GB2312" w:eastAsia="仿宋_GB2312"/>
          <w:sz w:val="28"/>
          <w:szCs w:val="28"/>
          <w:highlight w:val="none"/>
        </w:rPr>
        <w:t>%。</w:t>
      </w:r>
    </w:p>
    <w:p>
      <w:pPr>
        <w:spacing w:line="540" w:lineRule="exact"/>
        <w:ind w:firstLine="562" w:firstLineChars="200"/>
        <w:rPr>
          <w:rFonts w:hint="eastAsia" w:ascii="楷体_GB2312" w:hAnsi="楷体_GB2312" w:eastAsia="楷体_GB2312" w:cs="楷体_GB2312"/>
          <w:b/>
          <w:sz w:val="28"/>
          <w:szCs w:val="28"/>
          <w:highlight w:val="none"/>
        </w:rPr>
      </w:pPr>
      <w:r>
        <w:rPr>
          <w:rFonts w:hint="eastAsia" w:ascii="楷体_GB2312" w:hAnsi="楷体_GB2312" w:eastAsia="楷体_GB2312" w:cs="楷体_GB2312"/>
          <w:b/>
          <w:sz w:val="28"/>
          <w:szCs w:val="28"/>
          <w:highlight w:val="none"/>
        </w:rPr>
        <w:t>（二）支出预算情况</w:t>
      </w:r>
    </w:p>
    <w:p>
      <w:pPr>
        <w:spacing w:line="54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202</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年</w:t>
      </w:r>
      <w:r>
        <w:rPr>
          <w:rFonts w:hint="eastAsia" w:ascii="仿宋_GB2312" w:eastAsia="仿宋_GB2312"/>
          <w:sz w:val="28"/>
          <w:szCs w:val="28"/>
          <w:highlight w:val="none"/>
          <w:lang w:eastAsia="zh-CN"/>
        </w:rPr>
        <w:t>南昌市土地储备中心</w:t>
      </w:r>
      <w:r>
        <w:rPr>
          <w:rFonts w:hint="eastAsia" w:ascii="仿宋_GB2312" w:eastAsia="仿宋_GB2312"/>
          <w:sz w:val="28"/>
          <w:szCs w:val="28"/>
          <w:highlight w:val="none"/>
        </w:rPr>
        <w:t>支出预算总额为</w:t>
      </w:r>
      <w:r>
        <w:rPr>
          <w:rFonts w:hint="eastAsia" w:ascii="仿宋_GB2312" w:eastAsia="仿宋_GB2312"/>
          <w:sz w:val="28"/>
          <w:szCs w:val="28"/>
          <w:highlight w:val="none"/>
          <w:lang w:val="en-US" w:eastAsia="zh-CN"/>
        </w:rPr>
        <w:t>1701.84</w:t>
      </w:r>
      <w:r>
        <w:rPr>
          <w:rFonts w:hint="eastAsia" w:ascii="仿宋_GB2312" w:eastAsia="仿宋_GB2312"/>
          <w:sz w:val="28"/>
          <w:szCs w:val="28"/>
          <w:highlight w:val="none"/>
        </w:rPr>
        <w:t>万元，</w:t>
      </w:r>
      <w:r>
        <w:rPr>
          <w:rFonts w:hint="eastAsia" w:ascii="仿宋_GB2312" w:eastAsia="仿宋_GB2312"/>
          <w:sz w:val="28"/>
          <w:szCs w:val="28"/>
          <w:highlight w:val="none"/>
          <w:lang w:val="en-US" w:eastAsia="zh-CN"/>
        </w:rPr>
        <w:t>较</w:t>
      </w:r>
      <w:r>
        <w:rPr>
          <w:rFonts w:hint="eastAsia" w:ascii="仿宋_GB2312" w:eastAsia="仿宋_GB2312"/>
          <w:sz w:val="28"/>
          <w:szCs w:val="28"/>
          <w:highlight w:val="none"/>
        </w:rPr>
        <w:t>上年增加</w:t>
      </w:r>
      <w:r>
        <w:rPr>
          <w:rFonts w:hint="eastAsia" w:ascii="仿宋_GB2312" w:eastAsia="仿宋_GB2312"/>
          <w:sz w:val="28"/>
          <w:szCs w:val="28"/>
          <w:highlight w:val="none"/>
          <w:lang w:val="en-US" w:eastAsia="zh-CN"/>
        </w:rPr>
        <w:t>44.43</w:t>
      </w:r>
      <w:r>
        <w:rPr>
          <w:rFonts w:hint="eastAsia" w:ascii="仿宋_GB2312" w:eastAsia="仿宋_GB2312"/>
          <w:sz w:val="28"/>
          <w:szCs w:val="28"/>
          <w:highlight w:val="none"/>
        </w:rPr>
        <w:t>万元，增长</w:t>
      </w:r>
      <w:r>
        <w:rPr>
          <w:rFonts w:hint="eastAsia" w:ascii="仿宋_GB2312" w:eastAsia="仿宋_GB2312"/>
          <w:sz w:val="28"/>
          <w:szCs w:val="28"/>
          <w:highlight w:val="none"/>
          <w:lang w:val="en-US" w:eastAsia="zh-CN"/>
        </w:rPr>
        <w:t>2.68</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w:t>
      </w:r>
    </w:p>
    <w:p>
      <w:pPr>
        <w:spacing w:line="54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其中：按支出项目类别划分：基本支出</w:t>
      </w:r>
      <w:r>
        <w:rPr>
          <w:rFonts w:hint="eastAsia" w:ascii="仿宋_GB2312" w:eastAsia="仿宋_GB2312"/>
          <w:sz w:val="28"/>
          <w:szCs w:val="28"/>
          <w:highlight w:val="none"/>
          <w:lang w:val="en-US" w:eastAsia="zh-CN"/>
        </w:rPr>
        <w:t>1145.44</w:t>
      </w:r>
      <w:r>
        <w:rPr>
          <w:rFonts w:hint="eastAsia" w:ascii="仿宋_GB2312" w:eastAsia="仿宋_GB2312"/>
          <w:sz w:val="28"/>
          <w:szCs w:val="28"/>
          <w:highlight w:val="none"/>
        </w:rPr>
        <w:t>万元，</w:t>
      </w:r>
      <w:r>
        <w:rPr>
          <w:rFonts w:hint="eastAsia" w:ascii="仿宋_GB2312" w:eastAsia="仿宋_GB2312"/>
          <w:sz w:val="28"/>
          <w:szCs w:val="28"/>
          <w:highlight w:val="none"/>
          <w:lang w:eastAsia="zh-CN"/>
        </w:rPr>
        <w:t>较</w:t>
      </w:r>
      <w:r>
        <w:rPr>
          <w:rFonts w:hint="eastAsia" w:ascii="仿宋_GB2312" w:eastAsia="仿宋_GB2312"/>
          <w:sz w:val="28"/>
          <w:szCs w:val="28"/>
          <w:highlight w:val="none"/>
        </w:rPr>
        <w:t>上年</w:t>
      </w:r>
      <w:r>
        <w:rPr>
          <w:rFonts w:hint="eastAsia" w:ascii="仿宋_GB2312" w:eastAsia="仿宋_GB2312"/>
          <w:sz w:val="28"/>
          <w:szCs w:val="28"/>
          <w:highlight w:val="none"/>
          <w:lang w:eastAsia="zh-CN"/>
        </w:rPr>
        <w:t>预算安排</w:t>
      </w:r>
      <w:r>
        <w:rPr>
          <w:rFonts w:hint="eastAsia" w:ascii="仿宋_GB2312" w:eastAsia="仿宋_GB2312"/>
          <w:sz w:val="28"/>
          <w:szCs w:val="28"/>
          <w:highlight w:val="none"/>
        </w:rPr>
        <w:t>增加</w:t>
      </w:r>
      <w:r>
        <w:rPr>
          <w:rFonts w:hint="eastAsia" w:ascii="仿宋_GB2312" w:eastAsia="仿宋_GB2312"/>
          <w:sz w:val="28"/>
          <w:szCs w:val="28"/>
          <w:highlight w:val="none"/>
          <w:lang w:val="en-US" w:eastAsia="zh-CN"/>
        </w:rPr>
        <w:t>44.43</w:t>
      </w:r>
      <w:r>
        <w:rPr>
          <w:rFonts w:hint="eastAsia" w:ascii="仿宋_GB2312" w:eastAsia="仿宋_GB2312"/>
          <w:sz w:val="28"/>
          <w:szCs w:val="28"/>
          <w:highlight w:val="none"/>
        </w:rPr>
        <w:t>万元</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包括工资福利支出</w:t>
      </w:r>
      <w:r>
        <w:rPr>
          <w:rFonts w:hint="eastAsia" w:ascii="仿宋_GB2312" w:eastAsia="仿宋_GB2312"/>
          <w:sz w:val="28"/>
          <w:szCs w:val="28"/>
          <w:highlight w:val="none"/>
          <w:lang w:val="en-US" w:eastAsia="zh-CN"/>
        </w:rPr>
        <w:t>1050.63</w:t>
      </w:r>
      <w:r>
        <w:rPr>
          <w:rFonts w:hint="eastAsia" w:ascii="仿宋_GB2312" w:eastAsia="仿宋_GB2312"/>
          <w:sz w:val="28"/>
          <w:szCs w:val="28"/>
          <w:highlight w:val="none"/>
        </w:rPr>
        <w:t>万元、</w:t>
      </w:r>
      <w:r>
        <w:rPr>
          <w:rFonts w:hint="eastAsia" w:ascii="仿宋_GB2312" w:hAnsi="Times New Roman" w:eastAsia="仿宋_GB2312" w:cs="Times New Roman"/>
          <w:color w:val="auto"/>
          <w:sz w:val="28"/>
          <w:szCs w:val="28"/>
          <w:highlight w:val="none"/>
        </w:rPr>
        <w:t>商品和服务支出</w:t>
      </w:r>
      <w:r>
        <w:rPr>
          <w:rFonts w:hint="eastAsia" w:ascii="仿宋_GB2312" w:eastAsia="仿宋_GB2312"/>
          <w:sz w:val="28"/>
          <w:szCs w:val="28"/>
          <w:highlight w:val="none"/>
          <w:lang w:val="en-US" w:eastAsia="zh-CN"/>
        </w:rPr>
        <w:t>93.97</w:t>
      </w:r>
      <w:r>
        <w:rPr>
          <w:rFonts w:hint="eastAsia" w:ascii="仿宋_GB2312" w:eastAsia="仿宋_GB2312"/>
          <w:sz w:val="28"/>
          <w:szCs w:val="28"/>
          <w:highlight w:val="none"/>
        </w:rPr>
        <w:t>万元、对个人和家庭的补助</w:t>
      </w:r>
      <w:r>
        <w:rPr>
          <w:rFonts w:hint="eastAsia" w:ascii="仿宋_GB2312" w:eastAsia="仿宋_GB2312"/>
          <w:sz w:val="28"/>
          <w:szCs w:val="28"/>
          <w:highlight w:val="none"/>
          <w:lang w:val="en-US" w:eastAsia="zh-CN"/>
        </w:rPr>
        <w:t>0.84</w:t>
      </w:r>
      <w:r>
        <w:rPr>
          <w:rFonts w:hint="eastAsia" w:ascii="仿宋_GB2312" w:eastAsia="仿宋_GB2312"/>
          <w:sz w:val="28"/>
          <w:szCs w:val="28"/>
          <w:highlight w:val="none"/>
        </w:rPr>
        <w:t>万元；项目支出</w:t>
      </w:r>
      <w:r>
        <w:rPr>
          <w:rFonts w:hint="eastAsia" w:ascii="仿宋_GB2312" w:eastAsia="仿宋_GB2312"/>
          <w:sz w:val="28"/>
          <w:szCs w:val="28"/>
          <w:highlight w:val="none"/>
          <w:lang w:val="en-US" w:eastAsia="zh-CN"/>
        </w:rPr>
        <w:t>556.4</w:t>
      </w:r>
      <w:r>
        <w:rPr>
          <w:rFonts w:hint="eastAsia" w:ascii="仿宋_GB2312" w:eastAsia="仿宋_GB2312"/>
          <w:sz w:val="28"/>
          <w:szCs w:val="28"/>
          <w:highlight w:val="none"/>
        </w:rPr>
        <w:t>万元</w:t>
      </w:r>
      <w:r>
        <w:rPr>
          <w:rFonts w:hint="eastAsia" w:ascii="仿宋_GB2312" w:eastAsia="仿宋_GB2312"/>
          <w:sz w:val="28"/>
          <w:szCs w:val="28"/>
          <w:highlight w:val="none"/>
          <w:lang w:val="en-US" w:eastAsia="zh-CN"/>
        </w:rPr>
        <w:t>，包括土储棚改项目316.40万元、政府购买服务人员项目240万元</w:t>
      </w:r>
      <w:r>
        <w:rPr>
          <w:rFonts w:hint="eastAsia" w:ascii="仿宋_GB2312" w:eastAsia="仿宋_GB2312"/>
          <w:sz w:val="28"/>
          <w:szCs w:val="28"/>
          <w:highlight w:val="none"/>
          <w:lang w:eastAsia="zh-CN"/>
        </w:rPr>
        <w:t>。</w:t>
      </w:r>
    </w:p>
    <w:p>
      <w:pPr>
        <w:spacing w:line="540" w:lineRule="exact"/>
        <w:ind w:firstLine="560" w:firstLineChars="200"/>
        <w:rPr>
          <w:rFonts w:hint="default" w:ascii="仿宋_GB2312" w:hAnsi="Times New Roman" w:eastAsia="仿宋_GB2312" w:cs="Times New Roman"/>
          <w:color w:val="auto"/>
          <w:sz w:val="28"/>
          <w:szCs w:val="28"/>
          <w:highlight w:val="none"/>
          <w:lang w:val="en-US" w:eastAsia="zh-CN"/>
        </w:rPr>
      </w:pPr>
      <w:r>
        <w:rPr>
          <w:rFonts w:hint="eastAsia" w:ascii="仿宋_GB2312" w:eastAsia="仿宋_GB2312"/>
          <w:sz w:val="28"/>
          <w:szCs w:val="28"/>
          <w:highlight w:val="none"/>
        </w:rPr>
        <w:t>按支出功能科目划分：</w:t>
      </w:r>
      <w:r>
        <w:rPr>
          <w:rFonts w:hint="eastAsia" w:ascii="仿宋_GB2312" w:hAnsi="Times New Roman" w:eastAsia="仿宋_GB2312" w:cs="Times New Roman"/>
          <w:color w:val="auto"/>
          <w:sz w:val="28"/>
          <w:szCs w:val="28"/>
          <w:highlight w:val="none"/>
          <w:lang w:eastAsia="zh-CN"/>
        </w:rPr>
        <w:t>社会保障和就业支出</w:t>
      </w:r>
      <w:r>
        <w:rPr>
          <w:rFonts w:hint="eastAsia" w:ascii="仿宋_GB2312" w:hAnsi="Times New Roman" w:eastAsia="仿宋_GB2312" w:cs="Times New Roman"/>
          <w:color w:val="auto"/>
          <w:sz w:val="28"/>
          <w:szCs w:val="28"/>
          <w:highlight w:val="none"/>
          <w:lang w:val="en-US" w:eastAsia="zh-CN"/>
        </w:rPr>
        <w:t>59.13万元，</w:t>
      </w:r>
      <w:r>
        <w:rPr>
          <w:rFonts w:hint="eastAsia" w:ascii="仿宋_GB2312" w:eastAsia="仿宋_GB2312"/>
          <w:sz w:val="28"/>
          <w:szCs w:val="28"/>
          <w:highlight w:val="none"/>
          <w:lang w:eastAsia="zh-CN"/>
        </w:rPr>
        <w:t>较</w:t>
      </w:r>
      <w:r>
        <w:rPr>
          <w:rFonts w:hint="eastAsia" w:ascii="仿宋_GB2312" w:eastAsia="仿宋_GB2312"/>
          <w:sz w:val="28"/>
          <w:szCs w:val="28"/>
          <w:highlight w:val="none"/>
        </w:rPr>
        <w:t>上年</w:t>
      </w:r>
      <w:r>
        <w:rPr>
          <w:rFonts w:hint="eastAsia" w:ascii="仿宋_GB2312" w:eastAsia="仿宋_GB2312"/>
          <w:sz w:val="28"/>
          <w:szCs w:val="28"/>
          <w:highlight w:val="none"/>
          <w:lang w:eastAsia="zh-CN"/>
        </w:rPr>
        <w:t>预算安排</w:t>
      </w:r>
      <w:r>
        <w:rPr>
          <w:rFonts w:hint="eastAsia" w:ascii="仿宋_GB2312" w:eastAsia="仿宋_GB2312"/>
          <w:sz w:val="28"/>
          <w:szCs w:val="28"/>
          <w:highlight w:val="none"/>
          <w:lang w:val="en-US" w:eastAsia="zh-CN"/>
        </w:rPr>
        <w:t>增加2.22</w:t>
      </w:r>
      <w:r>
        <w:rPr>
          <w:rFonts w:hint="eastAsia" w:ascii="仿宋_GB2312" w:eastAsia="仿宋_GB2312"/>
          <w:sz w:val="28"/>
          <w:szCs w:val="28"/>
          <w:highlight w:val="none"/>
        </w:rPr>
        <w:t>万元</w:t>
      </w:r>
      <w:r>
        <w:rPr>
          <w:rFonts w:hint="eastAsia" w:ascii="仿宋_GB2312" w:hAnsi="Times New Roman" w:eastAsia="仿宋_GB2312" w:cs="Times New Roman"/>
          <w:color w:val="auto"/>
          <w:sz w:val="28"/>
          <w:szCs w:val="28"/>
          <w:highlight w:val="none"/>
          <w:lang w:val="en-US" w:eastAsia="zh-CN"/>
        </w:rPr>
        <w:t>；自然资源海洋气象等支出1537.84万元，</w:t>
      </w:r>
      <w:r>
        <w:rPr>
          <w:rFonts w:hint="eastAsia" w:ascii="仿宋_GB2312" w:eastAsia="仿宋_GB2312"/>
          <w:sz w:val="28"/>
          <w:szCs w:val="28"/>
          <w:highlight w:val="none"/>
          <w:lang w:eastAsia="zh-CN"/>
        </w:rPr>
        <w:t>较</w:t>
      </w:r>
      <w:r>
        <w:rPr>
          <w:rFonts w:hint="eastAsia" w:ascii="仿宋_GB2312" w:eastAsia="仿宋_GB2312"/>
          <w:sz w:val="28"/>
          <w:szCs w:val="28"/>
          <w:highlight w:val="none"/>
        </w:rPr>
        <w:t>上年</w:t>
      </w:r>
      <w:r>
        <w:rPr>
          <w:rFonts w:hint="eastAsia" w:ascii="仿宋_GB2312" w:eastAsia="仿宋_GB2312"/>
          <w:sz w:val="28"/>
          <w:szCs w:val="28"/>
          <w:highlight w:val="none"/>
          <w:lang w:eastAsia="zh-CN"/>
        </w:rPr>
        <w:t>预算安排</w:t>
      </w:r>
      <w:r>
        <w:rPr>
          <w:rFonts w:hint="eastAsia" w:ascii="仿宋_GB2312" w:eastAsia="仿宋_GB2312"/>
          <w:sz w:val="28"/>
          <w:szCs w:val="28"/>
          <w:highlight w:val="none"/>
          <w:lang w:val="en-US" w:eastAsia="zh-CN"/>
        </w:rPr>
        <w:t>增加37.88</w:t>
      </w:r>
      <w:r>
        <w:rPr>
          <w:rFonts w:hint="eastAsia" w:ascii="仿宋_GB2312" w:eastAsia="仿宋_GB2312"/>
          <w:sz w:val="28"/>
          <w:szCs w:val="28"/>
          <w:highlight w:val="none"/>
        </w:rPr>
        <w:t>万元</w:t>
      </w:r>
      <w:r>
        <w:rPr>
          <w:rFonts w:hint="eastAsia" w:ascii="仿宋_GB2312" w:hAnsi="Times New Roman" w:eastAsia="仿宋_GB2312" w:cs="Times New Roman"/>
          <w:color w:val="auto"/>
          <w:sz w:val="28"/>
          <w:szCs w:val="28"/>
          <w:highlight w:val="none"/>
          <w:lang w:val="en-US" w:eastAsia="zh-CN"/>
        </w:rPr>
        <w:t>；住房保障支出104.87万元，</w:t>
      </w:r>
      <w:r>
        <w:rPr>
          <w:rFonts w:hint="eastAsia" w:ascii="仿宋_GB2312" w:eastAsia="仿宋_GB2312"/>
          <w:sz w:val="28"/>
          <w:szCs w:val="28"/>
          <w:highlight w:val="none"/>
          <w:lang w:eastAsia="zh-CN"/>
        </w:rPr>
        <w:t>较</w:t>
      </w:r>
      <w:r>
        <w:rPr>
          <w:rFonts w:hint="eastAsia" w:ascii="仿宋_GB2312" w:eastAsia="仿宋_GB2312"/>
          <w:sz w:val="28"/>
          <w:szCs w:val="28"/>
          <w:highlight w:val="none"/>
        </w:rPr>
        <w:t>上年</w:t>
      </w:r>
      <w:r>
        <w:rPr>
          <w:rFonts w:hint="eastAsia" w:ascii="仿宋_GB2312" w:eastAsia="仿宋_GB2312"/>
          <w:sz w:val="28"/>
          <w:szCs w:val="28"/>
          <w:highlight w:val="none"/>
          <w:lang w:eastAsia="zh-CN"/>
        </w:rPr>
        <w:t>预算安排</w:t>
      </w:r>
      <w:r>
        <w:rPr>
          <w:rFonts w:hint="eastAsia" w:ascii="仿宋_GB2312" w:eastAsia="仿宋_GB2312"/>
          <w:sz w:val="28"/>
          <w:szCs w:val="28"/>
          <w:highlight w:val="none"/>
          <w:lang w:val="en-US" w:eastAsia="zh-CN"/>
        </w:rPr>
        <w:t xml:space="preserve">增加4.33 </w:t>
      </w:r>
      <w:r>
        <w:rPr>
          <w:rFonts w:hint="eastAsia" w:ascii="仿宋_GB2312" w:eastAsia="仿宋_GB2312"/>
          <w:sz w:val="28"/>
          <w:szCs w:val="28"/>
          <w:highlight w:val="none"/>
        </w:rPr>
        <w:t>万元</w:t>
      </w:r>
      <w:r>
        <w:rPr>
          <w:rFonts w:hint="eastAsia" w:ascii="仿宋_GB2312" w:hAnsi="Times New Roman" w:eastAsia="仿宋_GB2312" w:cs="Times New Roman"/>
          <w:color w:val="auto"/>
          <w:sz w:val="28"/>
          <w:szCs w:val="28"/>
          <w:highlight w:val="none"/>
          <w:lang w:val="en-US" w:eastAsia="zh-CN"/>
        </w:rPr>
        <w:t>。</w:t>
      </w:r>
    </w:p>
    <w:p>
      <w:pPr>
        <w:spacing w:line="540" w:lineRule="exact"/>
        <w:ind w:firstLine="560" w:firstLineChars="20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按支出经济分类划分：</w:t>
      </w:r>
      <w:r>
        <w:rPr>
          <w:rFonts w:hint="eastAsia" w:ascii="仿宋_GB2312" w:hAnsi="Times New Roman" w:eastAsia="仿宋_GB2312" w:cs="Times New Roman"/>
          <w:color w:val="auto"/>
          <w:sz w:val="28"/>
          <w:szCs w:val="28"/>
          <w:highlight w:val="none"/>
        </w:rPr>
        <w:t>工资福利支出</w:t>
      </w:r>
      <w:r>
        <w:rPr>
          <w:rFonts w:hint="eastAsia" w:ascii="仿宋_GB2312" w:hAnsi="Times New Roman" w:eastAsia="仿宋_GB2312" w:cs="Times New Roman"/>
          <w:color w:val="auto"/>
          <w:sz w:val="28"/>
          <w:szCs w:val="28"/>
          <w:highlight w:val="none"/>
          <w:lang w:val="en-US" w:eastAsia="zh-CN"/>
        </w:rPr>
        <w:t>1050.63</w:t>
      </w:r>
      <w:r>
        <w:rPr>
          <w:rFonts w:hint="eastAsia" w:ascii="仿宋_GB2312" w:hAnsi="Times New Roman" w:eastAsia="仿宋_GB2312" w:cs="Times New Roman"/>
          <w:color w:val="auto"/>
          <w:sz w:val="28"/>
          <w:szCs w:val="28"/>
          <w:highlight w:val="none"/>
        </w:rPr>
        <w:t>万元，</w:t>
      </w:r>
      <w:r>
        <w:rPr>
          <w:rFonts w:hint="eastAsia" w:ascii="仿宋_GB2312" w:eastAsia="仿宋_GB2312"/>
          <w:sz w:val="28"/>
          <w:szCs w:val="28"/>
          <w:highlight w:val="none"/>
          <w:lang w:eastAsia="zh-CN"/>
        </w:rPr>
        <w:t>较</w:t>
      </w:r>
      <w:r>
        <w:rPr>
          <w:rFonts w:hint="eastAsia" w:ascii="仿宋_GB2312" w:eastAsia="仿宋_GB2312"/>
          <w:sz w:val="28"/>
          <w:szCs w:val="28"/>
          <w:highlight w:val="none"/>
        </w:rPr>
        <w:t>上年</w:t>
      </w:r>
      <w:r>
        <w:rPr>
          <w:rFonts w:hint="eastAsia" w:ascii="仿宋_GB2312" w:eastAsia="仿宋_GB2312"/>
          <w:sz w:val="28"/>
          <w:szCs w:val="28"/>
          <w:highlight w:val="none"/>
          <w:lang w:eastAsia="zh-CN"/>
        </w:rPr>
        <w:t>预算安排</w:t>
      </w:r>
      <w:r>
        <w:rPr>
          <w:rFonts w:hint="eastAsia" w:ascii="仿宋_GB2312" w:eastAsia="仿宋_GB2312"/>
          <w:sz w:val="28"/>
          <w:szCs w:val="28"/>
          <w:highlight w:val="none"/>
          <w:lang w:val="en-US" w:eastAsia="zh-CN"/>
        </w:rPr>
        <w:t xml:space="preserve">增加48.47 </w:t>
      </w:r>
      <w:r>
        <w:rPr>
          <w:rFonts w:hint="eastAsia" w:ascii="仿宋_GB2312" w:eastAsia="仿宋_GB2312"/>
          <w:sz w:val="28"/>
          <w:szCs w:val="28"/>
          <w:highlight w:val="none"/>
        </w:rPr>
        <w:t>万元</w:t>
      </w:r>
      <w:r>
        <w:rPr>
          <w:rFonts w:hint="eastAsia" w:ascii="仿宋_GB2312" w:hAnsi="Times New Roman" w:eastAsia="仿宋_GB2312" w:cs="Times New Roman"/>
          <w:color w:val="auto"/>
          <w:sz w:val="28"/>
          <w:szCs w:val="28"/>
          <w:highlight w:val="none"/>
        </w:rPr>
        <w:t>；商品和服务支出</w:t>
      </w:r>
      <w:r>
        <w:rPr>
          <w:rFonts w:hint="eastAsia" w:ascii="仿宋_GB2312" w:hAnsi="Times New Roman" w:eastAsia="仿宋_GB2312" w:cs="Times New Roman"/>
          <w:color w:val="auto"/>
          <w:sz w:val="28"/>
          <w:szCs w:val="28"/>
          <w:highlight w:val="none"/>
          <w:lang w:val="en-US" w:eastAsia="zh-CN"/>
        </w:rPr>
        <w:t xml:space="preserve">93.97 </w:t>
      </w:r>
      <w:r>
        <w:rPr>
          <w:rFonts w:hint="eastAsia" w:ascii="仿宋_GB2312" w:hAnsi="Times New Roman" w:eastAsia="仿宋_GB2312" w:cs="Times New Roman"/>
          <w:color w:val="auto"/>
          <w:sz w:val="28"/>
          <w:szCs w:val="28"/>
          <w:highlight w:val="none"/>
        </w:rPr>
        <w:t>万元，</w:t>
      </w:r>
      <w:r>
        <w:rPr>
          <w:rFonts w:hint="eastAsia" w:ascii="仿宋_GB2312" w:eastAsia="仿宋_GB2312"/>
          <w:sz w:val="28"/>
          <w:szCs w:val="28"/>
          <w:highlight w:val="none"/>
          <w:lang w:eastAsia="zh-CN"/>
        </w:rPr>
        <w:t>较</w:t>
      </w:r>
      <w:r>
        <w:rPr>
          <w:rFonts w:hint="eastAsia" w:ascii="仿宋_GB2312" w:eastAsia="仿宋_GB2312"/>
          <w:sz w:val="28"/>
          <w:szCs w:val="28"/>
          <w:highlight w:val="none"/>
        </w:rPr>
        <w:t>上年</w:t>
      </w:r>
      <w:r>
        <w:rPr>
          <w:rFonts w:hint="eastAsia" w:ascii="仿宋_GB2312" w:eastAsia="仿宋_GB2312"/>
          <w:sz w:val="28"/>
          <w:szCs w:val="28"/>
          <w:highlight w:val="none"/>
          <w:lang w:eastAsia="zh-CN"/>
        </w:rPr>
        <w:t>预算安排</w:t>
      </w:r>
      <w:r>
        <w:rPr>
          <w:rFonts w:hint="eastAsia" w:ascii="仿宋_GB2312" w:eastAsia="仿宋_GB2312"/>
          <w:sz w:val="28"/>
          <w:szCs w:val="28"/>
          <w:highlight w:val="none"/>
          <w:lang w:val="en-US" w:eastAsia="zh-CN"/>
        </w:rPr>
        <w:t>减少4.20</w:t>
      </w:r>
      <w:r>
        <w:rPr>
          <w:rFonts w:hint="eastAsia" w:ascii="仿宋_GB2312" w:eastAsia="仿宋_GB2312"/>
          <w:sz w:val="28"/>
          <w:szCs w:val="28"/>
          <w:highlight w:val="none"/>
        </w:rPr>
        <w:t>万元</w:t>
      </w:r>
      <w:r>
        <w:rPr>
          <w:rFonts w:hint="eastAsia" w:ascii="仿宋_GB2312" w:hAnsi="Times New Roman" w:eastAsia="仿宋_GB2312" w:cs="Times New Roman"/>
          <w:color w:val="auto"/>
          <w:sz w:val="28"/>
          <w:szCs w:val="28"/>
          <w:highlight w:val="none"/>
        </w:rPr>
        <w:t>；对个人和家庭的补助</w:t>
      </w:r>
      <w:r>
        <w:rPr>
          <w:rFonts w:hint="eastAsia" w:ascii="仿宋_GB2312" w:hAnsi="Times New Roman" w:eastAsia="仿宋_GB2312" w:cs="Times New Roman"/>
          <w:color w:val="auto"/>
          <w:sz w:val="28"/>
          <w:szCs w:val="28"/>
          <w:highlight w:val="none"/>
          <w:lang w:val="en-US" w:eastAsia="zh-CN"/>
        </w:rPr>
        <w:t>0.84</w:t>
      </w:r>
      <w:r>
        <w:rPr>
          <w:rFonts w:hint="eastAsia" w:ascii="仿宋_GB2312" w:hAnsi="Times New Roman" w:eastAsia="仿宋_GB2312" w:cs="Times New Roman"/>
          <w:color w:val="auto"/>
          <w:sz w:val="28"/>
          <w:szCs w:val="28"/>
          <w:highlight w:val="none"/>
        </w:rPr>
        <w:t>万元，</w:t>
      </w:r>
      <w:r>
        <w:rPr>
          <w:rFonts w:hint="eastAsia" w:ascii="仿宋_GB2312" w:eastAsia="仿宋_GB2312"/>
          <w:sz w:val="28"/>
          <w:szCs w:val="28"/>
          <w:highlight w:val="none"/>
          <w:lang w:eastAsia="zh-CN"/>
        </w:rPr>
        <w:t>较</w:t>
      </w:r>
      <w:r>
        <w:rPr>
          <w:rFonts w:hint="eastAsia" w:ascii="仿宋_GB2312" w:eastAsia="仿宋_GB2312"/>
          <w:sz w:val="28"/>
          <w:szCs w:val="28"/>
          <w:highlight w:val="none"/>
        </w:rPr>
        <w:t>上年</w:t>
      </w:r>
      <w:r>
        <w:rPr>
          <w:rFonts w:hint="eastAsia" w:ascii="仿宋_GB2312" w:eastAsia="仿宋_GB2312"/>
          <w:sz w:val="28"/>
          <w:szCs w:val="28"/>
          <w:highlight w:val="none"/>
          <w:lang w:eastAsia="zh-CN"/>
        </w:rPr>
        <w:t>预算安排</w:t>
      </w:r>
      <w:r>
        <w:rPr>
          <w:rFonts w:hint="eastAsia" w:ascii="仿宋_GB2312" w:eastAsia="仿宋_GB2312"/>
          <w:sz w:val="28"/>
          <w:szCs w:val="28"/>
          <w:highlight w:val="none"/>
          <w:lang w:val="en-US" w:eastAsia="zh-CN"/>
        </w:rPr>
        <w:t>增加0.16</w:t>
      </w:r>
      <w:r>
        <w:rPr>
          <w:rFonts w:hint="eastAsia" w:ascii="仿宋_GB2312" w:eastAsia="仿宋_GB2312"/>
          <w:sz w:val="28"/>
          <w:szCs w:val="28"/>
          <w:highlight w:val="none"/>
        </w:rPr>
        <w:t>万元</w:t>
      </w:r>
      <w:r>
        <w:rPr>
          <w:rFonts w:hint="eastAsia" w:ascii="仿宋_GB2312" w:hAnsi="Times New Roman" w:eastAsia="仿宋_GB2312" w:cs="Times New Roman"/>
          <w:color w:val="auto"/>
          <w:sz w:val="28"/>
          <w:szCs w:val="28"/>
          <w:highlight w:val="none"/>
        </w:rPr>
        <w:t>；</w:t>
      </w:r>
      <w:r>
        <w:rPr>
          <w:rFonts w:hint="eastAsia" w:ascii="仿宋_GB2312" w:eastAsia="仿宋_GB2312"/>
          <w:sz w:val="28"/>
          <w:szCs w:val="28"/>
          <w:highlight w:val="none"/>
        </w:rPr>
        <w:t>项目支出</w:t>
      </w:r>
      <w:r>
        <w:rPr>
          <w:rFonts w:hint="eastAsia" w:ascii="仿宋_GB2312" w:eastAsia="仿宋_GB2312"/>
          <w:sz w:val="28"/>
          <w:szCs w:val="28"/>
          <w:highlight w:val="none"/>
          <w:lang w:val="en-US" w:eastAsia="zh-CN"/>
        </w:rPr>
        <w:t>556.4</w:t>
      </w:r>
      <w:r>
        <w:rPr>
          <w:rFonts w:hint="eastAsia" w:ascii="仿宋_GB2312" w:eastAsia="仿宋_GB2312"/>
          <w:sz w:val="28"/>
          <w:szCs w:val="28"/>
          <w:highlight w:val="none"/>
        </w:rPr>
        <w:t>万元，</w:t>
      </w:r>
      <w:r>
        <w:rPr>
          <w:rFonts w:hint="eastAsia" w:ascii="仿宋_GB2312" w:eastAsia="仿宋_GB2312"/>
          <w:sz w:val="28"/>
          <w:szCs w:val="28"/>
          <w:highlight w:val="none"/>
          <w:lang w:val="en-US" w:eastAsia="zh-CN"/>
        </w:rPr>
        <w:t>与</w:t>
      </w:r>
      <w:r>
        <w:rPr>
          <w:rFonts w:hint="eastAsia" w:ascii="仿宋_GB2312" w:eastAsia="仿宋_GB2312"/>
          <w:sz w:val="28"/>
          <w:szCs w:val="28"/>
          <w:highlight w:val="none"/>
        </w:rPr>
        <w:t>上年</w:t>
      </w:r>
      <w:r>
        <w:rPr>
          <w:rFonts w:hint="eastAsia" w:ascii="仿宋_GB2312" w:eastAsia="仿宋_GB2312"/>
          <w:sz w:val="28"/>
          <w:szCs w:val="28"/>
          <w:highlight w:val="none"/>
          <w:lang w:eastAsia="zh-CN"/>
        </w:rPr>
        <w:t>预算安排</w:t>
      </w:r>
      <w:r>
        <w:rPr>
          <w:rFonts w:hint="eastAsia" w:ascii="仿宋_GB2312" w:eastAsia="仿宋_GB2312"/>
          <w:sz w:val="28"/>
          <w:szCs w:val="28"/>
          <w:highlight w:val="none"/>
          <w:lang w:val="en-US" w:eastAsia="zh-CN"/>
        </w:rPr>
        <w:t>持平</w:t>
      </w:r>
      <w:r>
        <w:rPr>
          <w:rFonts w:hint="eastAsia" w:ascii="仿宋_GB2312" w:hAnsi="Times New Roman" w:eastAsia="仿宋_GB2312" w:cs="Times New Roman"/>
          <w:color w:val="auto"/>
          <w:sz w:val="28"/>
          <w:szCs w:val="28"/>
          <w:highlight w:val="none"/>
          <w:lang w:eastAsia="zh-CN"/>
        </w:rPr>
        <w:t>。</w:t>
      </w:r>
    </w:p>
    <w:p>
      <w:pPr>
        <w:spacing w:line="540" w:lineRule="exact"/>
        <w:ind w:firstLine="562" w:firstLineChars="200"/>
        <w:rPr>
          <w:rFonts w:hint="eastAsia" w:ascii="楷体_GB2312" w:hAnsi="楷体_GB2312" w:eastAsia="楷体_GB2312" w:cs="楷体_GB2312"/>
          <w:b/>
          <w:sz w:val="28"/>
          <w:szCs w:val="28"/>
          <w:highlight w:val="none"/>
        </w:rPr>
      </w:pPr>
      <w:r>
        <w:rPr>
          <w:rFonts w:hint="eastAsia" w:ascii="楷体_GB2312" w:hAnsi="楷体_GB2312" w:eastAsia="楷体_GB2312" w:cs="楷体_GB2312"/>
          <w:b/>
          <w:sz w:val="28"/>
          <w:szCs w:val="28"/>
          <w:highlight w:val="none"/>
        </w:rPr>
        <w:t>（三）财政拨款支出情况</w:t>
      </w:r>
    </w:p>
    <w:p>
      <w:pPr>
        <w:spacing w:line="54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202</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年</w:t>
      </w:r>
      <w:r>
        <w:rPr>
          <w:rFonts w:hint="eastAsia" w:ascii="仿宋_GB2312" w:hAnsi="宋体" w:eastAsia="仿宋_GB2312"/>
          <w:sz w:val="30"/>
          <w:szCs w:val="30"/>
          <w:highlight w:val="none"/>
          <w:lang w:eastAsia="zh-CN"/>
        </w:rPr>
        <w:t>南昌市土地储备中心</w:t>
      </w:r>
      <w:r>
        <w:rPr>
          <w:rFonts w:hint="eastAsia" w:ascii="仿宋_GB2312" w:eastAsia="仿宋_GB2312"/>
          <w:sz w:val="28"/>
          <w:szCs w:val="28"/>
          <w:highlight w:val="none"/>
        </w:rPr>
        <w:t>财政拨款支出预算</w:t>
      </w:r>
      <w:r>
        <w:rPr>
          <w:rFonts w:hint="eastAsia" w:ascii="仿宋_GB2312" w:eastAsia="仿宋_GB2312"/>
          <w:sz w:val="28"/>
          <w:szCs w:val="28"/>
          <w:highlight w:val="none"/>
          <w:lang w:val="en-US" w:eastAsia="zh-CN"/>
        </w:rPr>
        <w:t>1701.84</w:t>
      </w:r>
      <w:r>
        <w:rPr>
          <w:rFonts w:hint="eastAsia" w:ascii="仿宋_GB2312" w:eastAsia="仿宋_GB2312"/>
          <w:sz w:val="28"/>
          <w:szCs w:val="28"/>
          <w:highlight w:val="none"/>
        </w:rPr>
        <w:t>万元，较上年上年增加</w:t>
      </w:r>
      <w:r>
        <w:rPr>
          <w:rFonts w:hint="eastAsia" w:ascii="仿宋_GB2312" w:eastAsia="仿宋_GB2312"/>
          <w:sz w:val="28"/>
          <w:szCs w:val="28"/>
          <w:highlight w:val="none"/>
          <w:lang w:val="en-US" w:eastAsia="zh-CN"/>
        </w:rPr>
        <w:t>44.43</w:t>
      </w:r>
      <w:r>
        <w:rPr>
          <w:rFonts w:hint="eastAsia" w:ascii="仿宋_GB2312" w:eastAsia="仿宋_GB2312"/>
          <w:sz w:val="28"/>
          <w:szCs w:val="28"/>
          <w:highlight w:val="none"/>
        </w:rPr>
        <w:t>万元，增长</w:t>
      </w:r>
      <w:r>
        <w:rPr>
          <w:rFonts w:hint="eastAsia" w:ascii="仿宋_GB2312" w:eastAsia="仿宋_GB2312"/>
          <w:sz w:val="28"/>
          <w:szCs w:val="28"/>
          <w:highlight w:val="none"/>
          <w:lang w:val="en-US" w:eastAsia="zh-CN"/>
        </w:rPr>
        <w:t>2.68</w:t>
      </w:r>
      <w:r>
        <w:rPr>
          <w:rFonts w:hint="eastAsia" w:ascii="仿宋_GB2312" w:eastAsia="仿宋_GB2312"/>
          <w:sz w:val="28"/>
          <w:szCs w:val="28"/>
          <w:highlight w:val="none"/>
        </w:rPr>
        <w:t>%</w:t>
      </w:r>
      <w:r>
        <w:rPr>
          <w:rFonts w:hint="eastAsia" w:ascii="仿宋_GB2312" w:eastAsia="仿宋_GB2312"/>
          <w:sz w:val="28"/>
          <w:szCs w:val="28"/>
          <w:highlight w:val="none"/>
          <w:lang w:eastAsia="zh-CN"/>
        </w:rPr>
        <w:t>。</w:t>
      </w:r>
    </w:p>
    <w:p>
      <w:pPr>
        <w:spacing w:line="540" w:lineRule="exact"/>
        <w:ind w:firstLine="560" w:firstLineChars="200"/>
        <w:rPr>
          <w:rFonts w:hint="default" w:ascii="仿宋_GB2312" w:hAnsi="Times New Roman" w:eastAsia="仿宋_GB2312" w:cs="Times New Roman"/>
          <w:color w:val="auto"/>
          <w:sz w:val="28"/>
          <w:szCs w:val="28"/>
          <w:highlight w:val="none"/>
          <w:lang w:val="en-US" w:eastAsia="zh-CN"/>
        </w:rPr>
      </w:pPr>
      <w:r>
        <w:rPr>
          <w:rFonts w:hint="eastAsia" w:ascii="仿宋_GB2312" w:eastAsia="仿宋_GB2312"/>
          <w:sz w:val="28"/>
          <w:szCs w:val="28"/>
          <w:highlight w:val="none"/>
          <w:lang w:eastAsia="zh-CN"/>
        </w:rPr>
        <w:t>按支出功能科目划分</w:t>
      </w:r>
      <w:r>
        <w:rPr>
          <w:rFonts w:hint="eastAsia" w:ascii="仿宋_GB2312" w:eastAsia="仿宋_GB2312"/>
          <w:sz w:val="28"/>
          <w:szCs w:val="28"/>
          <w:highlight w:val="none"/>
        </w:rPr>
        <w:t>：</w:t>
      </w:r>
      <w:r>
        <w:rPr>
          <w:rFonts w:hint="eastAsia" w:ascii="仿宋_GB2312" w:hAnsi="Times New Roman" w:eastAsia="仿宋_GB2312" w:cs="Times New Roman"/>
          <w:color w:val="auto"/>
          <w:sz w:val="28"/>
          <w:szCs w:val="28"/>
          <w:highlight w:val="none"/>
          <w:lang w:eastAsia="zh-CN"/>
        </w:rPr>
        <w:t>社会保障和就业支出</w:t>
      </w:r>
      <w:r>
        <w:rPr>
          <w:rFonts w:hint="eastAsia" w:ascii="仿宋_GB2312" w:hAnsi="Times New Roman" w:eastAsia="仿宋_GB2312" w:cs="Times New Roman"/>
          <w:color w:val="auto"/>
          <w:sz w:val="28"/>
          <w:szCs w:val="28"/>
          <w:highlight w:val="none"/>
          <w:lang w:val="en-US" w:eastAsia="zh-CN"/>
        </w:rPr>
        <w:t>59.13万元，</w:t>
      </w:r>
      <w:r>
        <w:rPr>
          <w:rFonts w:hint="eastAsia" w:ascii="仿宋_GB2312" w:eastAsia="仿宋_GB2312"/>
          <w:sz w:val="28"/>
          <w:szCs w:val="28"/>
          <w:highlight w:val="none"/>
          <w:lang w:eastAsia="zh-CN"/>
        </w:rPr>
        <w:t>较</w:t>
      </w:r>
      <w:r>
        <w:rPr>
          <w:rFonts w:hint="eastAsia" w:ascii="仿宋_GB2312" w:eastAsia="仿宋_GB2312"/>
          <w:sz w:val="28"/>
          <w:szCs w:val="28"/>
          <w:highlight w:val="none"/>
        </w:rPr>
        <w:t>上年</w:t>
      </w:r>
      <w:r>
        <w:rPr>
          <w:rFonts w:hint="eastAsia" w:ascii="仿宋_GB2312" w:eastAsia="仿宋_GB2312"/>
          <w:sz w:val="28"/>
          <w:szCs w:val="28"/>
          <w:highlight w:val="none"/>
          <w:lang w:eastAsia="zh-CN"/>
        </w:rPr>
        <w:t>预算安排</w:t>
      </w:r>
      <w:r>
        <w:rPr>
          <w:rFonts w:hint="eastAsia" w:ascii="仿宋_GB2312" w:eastAsia="仿宋_GB2312"/>
          <w:sz w:val="28"/>
          <w:szCs w:val="28"/>
          <w:highlight w:val="none"/>
          <w:lang w:val="en-US" w:eastAsia="zh-CN"/>
        </w:rPr>
        <w:t>增加2.22</w:t>
      </w:r>
      <w:r>
        <w:rPr>
          <w:rFonts w:hint="eastAsia" w:ascii="仿宋_GB2312" w:eastAsia="仿宋_GB2312"/>
          <w:sz w:val="28"/>
          <w:szCs w:val="28"/>
          <w:highlight w:val="none"/>
        </w:rPr>
        <w:t>万元</w:t>
      </w:r>
      <w:r>
        <w:rPr>
          <w:rFonts w:hint="eastAsia" w:ascii="仿宋_GB2312" w:hAnsi="Times New Roman" w:eastAsia="仿宋_GB2312" w:cs="Times New Roman"/>
          <w:color w:val="auto"/>
          <w:sz w:val="28"/>
          <w:szCs w:val="28"/>
          <w:highlight w:val="none"/>
          <w:lang w:val="en-US" w:eastAsia="zh-CN"/>
        </w:rPr>
        <w:t>；自然资源海洋气象等支出1537.84万元，</w:t>
      </w:r>
      <w:r>
        <w:rPr>
          <w:rFonts w:hint="eastAsia" w:ascii="仿宋_GB2312" w:eastAsia="仿宋_GB2312"/>
          <w:sz w:val="28"/>
          <w:szCs w:val="28"/>
          <w:highlight w:val="none"/>
          <w:lang w:eastAsia="zh-CN"/>
        </w:rPr>
        <w:t>较</w:t>
      </w:r>
      <w:r>
        <w:rPr>
          <w:rFonts w:hint="eastAsia" w:ascii="仿宋_GB2312" w:eastAsia="仿宋_GB2312"/>
          <w:sz w:val="28"/>
          <w:szCs w:val="28"/>
          <w:highlight w:val="none"/>
        </w:rPr>
        <w:t>上年</w:t>
      </w:r>
      <w:r>
        <w:rPr>
          <w:rFonts w:hint="eastAsia" w:ascii="仿宋_GB2312" w:eastAsia="仿宋_GB2312"/>
          <w:sz w:val="28"/>
          <w:szCs w:val="28"/>
          <w:highlight w:val="none"/>
          <w:lang w:eastAsia="zh-CN"/>
        </w:rPr>
        <w:t>预算安排</w:t>
      </w:r>
      <w:r>
        <w:rPr>
          <w:rFonts w:hint="eastAsia" w:ascii="仿宋_GB2312" w:eastAsia="仿宋_GB2312"/>
          <w:sz w:val="28"/>
          <w:szCs w:val="28"/>
          <w:highlight w:val="none"/>
          <w:lang w:val="en-US" w:eastAsia="zh-CN"/>
        </w:rPr>
        <w:t>增加37.88</w:t>
      </w:r>
      <w:r>
        <w:rPr>
          <w:rFonts w:hint="eastAsia" w:ascii="仿宋_GB2312" w:eastAsia="仿宋_GB2312"/>
          <w:sz w:val="28"/>
          <w:szCs w:val="28"/>
          <w:highlight w:val="none"/>
        </w:rPr>
        <w:t>万元</w:t>
      </w:r>
      <w:r>
        <w:rPr>
          <w:rFonts w:hint="eastAsia" w:ascii="仿宋_GB2312" w:hAnsi="Times New Roman" w:eastAsia="仿宋_GB2312" w:cs="Times New Roman"/>
          <w:color w:val="auto"/>
          <w:sz w:val="28"/>
          <w:szCs w:val="28"/>
          <w:highlight w:val="none"/>
          <w:lang w:val="en-US" w:eastAsia="zh-CN"/>
        </w:rPr>
        <w:t>；住房保障支出104.87万元，</w:t>
      </w:r>
      <w:r>
        <w:rPr>
          <w:rFonts w:hint="eastAsia" w:ascii="仿宋_GB2312" w:eastAsia="仿宋_GB2312"/>
          <w:sz w:val="28"/>
          <w:szCs w:val="28"/>
          <w:highlight w:val="none"/>
          <w:lang w:eastAsia="zh-CN"/>
        </w:rPr>
        <w:t>较</w:t>
      </w:r>
      <w:r>
        <w:rPr>
          <w:rFonts w:hint="eastAsia" w:ascii="仿宋_GB2312" w:eastAsia="仿宋_GB2312"/>
          <w:sz w:val="28"/>
          <w:szCs w:val="28"/>
          <w:highlight w:val="none"/>
        </w:rPr>
        <w:t>上年</w:t>
      </w:r>
      <w:r>
        <w:rPr>
          <w:rFonts w:hint="eastAsia" w:ascii="仿宋_GB2312" w:eastAsia="仿宋_GB2312"/>
          <w:sz w:val="28"/>
          <w:szCs w:val="28"/>
          <w:highlight w:val="none"/>
          <w:lang w:eastAsia="zh-CN"/>
        </w:rPr>
        <w:t>预算安排</w:t>
      </w:r>
      <w:r>
        <w:rPr>
          <w:rFonts w:hint="eastAsia" w:ascii="仿宋_GB2312" w:eastAsia="仿宋_GB2312"/>
          <w:sz w:val="28"/>
          <w:szCs w:val="28"/>
          <w:highlight w:val="none"/>
          <w:lang w:val="en-US" w:eastAsia="zh-CN"/>
        </w:rPr>
        <w:t xml:space="preserve">增加4.33 </w:t>
      </w:r>
      <w:r>
        <w:rPr>
          <w:rFonts w:hint="eastAsia" w:ascii="仿宋_GB2312" w:eastAsia="仿宋_GB2312"/>
          <w:sz w:val="28"/>
          <w:szCs w:val="28"/>
          <w:highlight w:val="none"/>
        </w:rPr>
        <w:t>万元</w:t>
      </w:r>
      <w:r>
        <w:rPr>
          <w:rFonts w:hint="eastAsia" w:ascii="仿宋_GB2312" w:hAnsi="Times New Roman" w:eastAsia="仿宋_GB2312" w:cs="Times New Roman"/>
          <w:color w:val="auto"/>
          <w:sz w:val="28"/>
          <w:szCs w:val="28"/>
          <w:highlight w:val="none"/>
          <w:lang w:val="en-US" w:eastAsia="zh-CN"/>
        </w:rPr>
        <w:t>。</w:t>
      </w:r>
    </w:p>
    <w:p>
      <w:pPr>
        <w:spacing w:line="540" w:lineRule="exact"/>
        <w:ind w:firstLine="560" w:firstLineChars="200"/>
        <w:rPr>
          <w:rFonts w:hint="eastAsia" w:ascii="仿宋_GB2312" w:hAnsi="Times New Roman" w:eastAsia="仿宋_GB2312" w:cs="Times New Roman"/>
          <w:color w:val="auto"/>
          <w:sz w:val="28"/>
          <w:szCs w:val="28"/>
          <w:highlight w:val="none"/>
          <w:lang w:val="en-US" w:eastAsia="zh-CN"/>
        </w:rPr>
      </w:pPr>
      <w:r>
        <w:rPr>
          <w:rFonts w:hint="eastAsia" w:ascii="仿宋_GB2312" w:eastAsia="仿宋_GB2312"/>
          <w:sz w:val="28"/>
          <w:szCs w:val="28"/>
          <w:highlight w:val="none"/>
        </w:rPr>
        <w:t>按支出项目类别划分：基本支出</w:t>
      </w:r>
      <w:r>
        <w:rPr>
          <w:rFonts w:hint="eastAsia" w:ascii="仿宋_GB2312" w:eastAsia="仿宋_GB2312"/>
          <w:sz w:val="28"/>
          <w:szCs w:val="28"/>
          <w:highlight w:val="none"/>
          <w:lang w:val="en-US" w:eastAsia="zh-CN"/>
        </w:rPr>
        <w:t>1145.44</w:t>
      </w:r>
      <w:r>
        <w:rPr>
          <w:rFonts w:hint="eastAsia" w:ascii="仿宋_GB2312" w:eastAsia="仿宋_GB2312"/>
          <w:sz w:val="28"/>
          <w:szCs w:val="28"/>
          <w:highlight w:val="none"/>
        </w:rPr>
        <w:t>万元，</w:t>
      </w:r>
      <w:r>
        <w:rPr>
          <w:rFonts w:hint="eastAsia" w:ascii="仿宋_GB2312" w:eastAsia="仿宋_GB2312"/>
          <w:sz w:val="28"/>
          <w:szCs w:val="28"/>
          <w:highlight w:val="none"/>
          <w:lang w:eastAsia="zh-CN"/>
        </w:rPr>
        <w:t>较</w:t>
      </w:r>
      <w:r>
        <w:rPr>
          <w:rFonts w:hint="eastAsia" w:ascii="仿宋_GB2312" w:eastAsia="仿宋_GB2312"/>
          <w:sz w:val="28"/>
          <w:szCs w:val="28"/>
          <w:highlight w:val="none"/>
        </w:rPr>
        <w:t>上年</w:t>
      </w:r>
      <w:r>
        <w:rPr>
          <w:rFonts w:hint="eastAsia" w:ascii="仿宋_GB2312" w:eastAsia="仿宋_GB2312"/>
          <w:sz w:val="28"/>
          <w:szCs w:val="28"/>
          <w:highlight w:val="none"/>
          <w:lang w:eastAsia="zh-CN"/>
        </w:rPr>
        <w:t>预算安排</w:t>
      </w:r>
      <w:r>
        <w:rPr>
          <w:rFonts w:hint="eastAsia" w:ascii="仿宋_GB2312" w:eastAsia="仿宋_GB2312"/>
          <w:sz w:val="28"/>
          <w:szCs w:val="28"/>
          <w:highlight w:val="none"/>
        </w:rPr>
        <w:t>增加</w:t>
      </w:r>
      <w:r>
        <w:rPr>
          <w:rFonts w:hint="eastAsia" w:ascii="仿宋_GB2312" w:eastAsia="仿宋_GB2312"/>
          <w:sz w:val="28"/>
          <w:szCs w:val="28"/>
          <w:highlight w:val="none"/>
          <w:lang w:val="en-US" w:eastAsia="zh-CN"/>
        </w:rPr>
        <w:t>44.43</w:t>
      </w:r>
      <w:r>
        <w:rPr>
          <w:rFonts w:hint="eastAsia" w:ascii="仿宋_GB2312" w:eastAsia="仿宋_GB2312"/>
          <w:sz w:val="28"/>
          <w:szCs w:val="28"/>
          <w:highlight w:val="none"/>
        </w:rPr>
        <w:t>万元</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包括工资福利支出</w:t>
      </w:r>
      <w:r>
        <w:rPr>
          <w:rFonts w:hint="eastAsia" w:ascii="仿宋_GB2312" w:eastAsia="仿宋_GB2312"/>
          <w:sz w:val="28"/>
          <w:szCs w:val="28"/>
          <w:highlight w:val="none"/>
          <w:lang w:val="en-US" w:eastAsia="zh-CN"/>
        </w:rPr>
        <w:t>1050.63</w:t>
      </w:r>
      <w:r>
        <w:rPr>
          <w:rFonts w:hint="eastAsia" w:ascii="仿宋_GB2312" w:eastAsia="仿宋_GB2312"/>
          <w:sz w:val="28"/>
          <w:szCs w:val="28"/>
          <w:highlight w:val="none"/>
        </w:rPr>
        <w:t>万元、</w:t>
      </w:r>
      <w:r>
        <w:rPr>
          <w:rFonts w:hint="eastAsia" w:ascii="仿宋_GB2312" w:hAnsi="Times New Roman" w:eastAsia="仿宋_GB2312" w:cs="Times New Roman"/>
          <w:color w:val="auto"/>
          <w:sz w:val="28"/>
          <w:szCs w:val="28"/>
          <w:highlight w:val="none"/>
        </w:rPr>
        <w:t>商品和服务支出</w:t>
      </w:r>
      <w:r>
        <w:rPr>
          <w:rFonts w:hint="eastAsia" w:ascii="仿宋_GB2312" w:eastAsia="仿宋_GB2312"/>
          <w:sz w:val="28"/>
          <w:szCs w:val="28"/>
          <w:highlight w:val="none"/>
          <w:lang w:val="en-US" w:eastAsia="zh-CN"/>
        </w:rPr>
        <w:t>93.97</w:t>
      </w:r>
      <w:r>
        <w:rPr>
          <w:rFonts w:hint="eastAsia" w:ascii="仿宋_GB2312" w:eastAsia="仿宋_GB2312"/>
          <w:sz w:val="28"/>
          <w:szCs w:val="28"/>
          <w:highlight w:val="none"/>
        </w:rPr>
        <w:t>万元、对个人和家庭的补助</w:t>
      </w:r>
      <w:r>
        <w:rPr>
          <w:rFonts w:hint="eastAsia" w:ascii="仿宋_GB2312" w:eastAsia="仿宋_GB2312"/>
          <w:sz w:val="28"/>
          <w:szCs w:val="28"/>
          <w:highlight w:val="none"/>
          <w:lang w:val="en-US" w:eastAsia="zh-CN"/>
        </w:rPr>
        <w:t>0.84</w:t>
      </w:r>
      <w:r>
        <w:rPr>
          <w:rFonts w:hint="eastAsia" w:ascii="仿宋_GB2312" w:eastAsia="仿宋_GB2312"/>
          <w:sz w:val="28"/>
          <w:szCs w:val="28"/>
          <w:highlight w:val="none"/>
        </w:rPr>
        <w:t>万元；项目支出</w:t>
      </w:r>
      <w:r>
        <w:rPr>
          <w:rFonts w:hint="eastAsia" w:ascii="仿宋_GB2312" w:eastAsia="仿宋_GB2312"/>
          <w:sz w:val="28"/>
          <w:szCs w:val="28"/>
          <w:highlight w:val="none"/>
          <w:lang w:val="en-US" w:eastAsia="zh-CN"/>
        </w:rPr>
        <w:t>556.4</w:t>
      </w:r>
      <w:r>
        <w:rPr>
          <w:rFonts w:hint="eastAsia" w:ascii="仿宋_GB2312" w:eastAsia="仿宋_GB2312"/>
          <w:sz w:val="28"/>
          <w:szCs w:val="28"/>
          <w:highlight w:val="none"/>
        </w:rPr>
        <w:t>万元，</w:t>
      </w:r>
      <w:r>
        <w:rPr>
          <w:rFonts w:hint="eastAsia" w:ascii="仿宋_GB2312" w:eastAsia="仿宋_GB2312"/>
          <w:sz w:val="28"/>
          <w:szCs w:val="28"/>
          <w:highlight w:val="none"/>
          <w:lang w:val="en-US" w:eastAsia="zh-CN"/>
        </w:rPr>
        <w:t>与</w:t>
      </w:r>
      <w:r>
        <w:rPr>
          <w:rFonts w:hint="eastAsia" w:ascii="仿宋_GB2312" w:eastAsia="仿宋_GB2312"/>
          <w:sz w:val="28"/>
          <w:szCs w:val="28"/>
          <w:highlight w:val="none"/>
        </w:rPr>
        <w:t>上年</w:t>
      </w:r>
      <w:r>
        <w:rPr>
          <w:rFonts w:hint="eastAsia" w:ascii="仿宋_GB2312" w:eastAsia="仿宋_GB2312"/>
          <w:sz w:val="28"/>
          <w:szCs w:val="28"/>
          <w:highlight w:val="none"/>
          <w:lang w:eastAsia="zh-CN"/>
        </w:rPr>
        <w:t>预算安排</w:t>
      </w:r>
      <w:r>
        <w:rPr>
          <w:rFonts w:hint="eastAsia" w:ascii="仿宋_GB2312" w:eastAsia="仿宋_GB2312"/>
          <w:sz w:val="28"/>
          <w:szCs w:val="28"/>
          <w:highlight w:val="none"/>
          <w:lang w:val="en-US" w:eastAsia="zh-CN"/>
        </w:rPr>
        <w:t>持平，包括土储棚改项目316.40万元、政府购买服务人员项目240万元</w:t>
      </w:r>
      <w:r>
        <w:rPr>
          <w:rFonts w:hint="eastAsia" w:ascii="仿宋_GB2312" w:eastAsia="仿宋_GB2312"/>
          <w:sz w:val="28"/>
          <w:szCs w:val="28"/>
          <w:highlight w:val="none"/>
          <w:lang w:eastAsia="zh-CN"/>
        </w:rPr>
        <w:t>。</w:t>
      </w:r>
    </w:p>
    <w:p>
      <w:pPr>
        <w:spacing w:line="540" w:lineRule="exact"/>
        <w:ind w:firstLine="562" w:firstLineChars="200"/>
        <w:rPr>
          <w:rFonts w:hint="eastAsia" w:ascii="仿宋_GB2312" w:eastAsia="仿宋_GB2312"/>
          <w:sz w:val="28"/>
          <w:szCs w:val="28"/>
          <w:highlight w:val="none"/>
        </w:rPr>
      </w:pPr>
      <w:r>
        <w:rPr>
          <w:rFonts w:hint="eastAsia" w:ascii="楷体_GB2312" w:hAnsi="楷体_GB2312" w:eastAsia="楷体_GB2312" w:cs="楷体_GB2312"/>
          <w:b/>
          <w:sz w:val="28"/>
          <w:szCs w:val="28"/>
          <w:highlight w:val="none"/>
        </w:rPr>
        <w:t>（四）政府性基金情况</w:t>
      </w:r>
    </w:p>
    <w:p>
      <w:pPr>
        <w:spacing w:line="54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本部门没有政府性基金预算</w:t>
      </w:r>
      <w:r>
        <w:rPr>
          <w:rFonts w:hint="eastAsia" w:ascii="仿宋_GB2312" w:eastAsia="仿宋_GB2312"/>
          <w:sz w:val="28"/>
          <w:szCs w:val="28"/>
          <w:highlight w:val="none"/>
          <w:lang w:eastAsia="zh-CN"/>
        </w:rPr>
        <w:t>拨款安排的支出。</w:t>
      </w:r>
    </w:p>
    <w:p>
      <w:pPr>
        <w:numPr>
          <w:ilvl w:val="0"/>
          <w:numId w:val="3"/>
        </w:numPr>
        <w:spacing w:line="540" w:lineRule="exact"/>
        <w:ind w:firstLine="562" w:firstLineChars="200"/>
        <w:rPr>
          <w:rFonts w:hint="eastAsia" w:ascii="楷体_GB2312" w:hAnsi="楷体_GB2312" w:eastAsia="楷体_GB2312" w:cs="楷体_GB2312"/>
          <w:sz w:val="28"/>
          <w:szCs w:val="28"/>
          <w:highlight w:val="none"/>
          <w:lang w:eastAsia="zh-CN"/>
        </w:rPr>
      </w:pPr>
      <w:r>
        <w:rPr>
          <w:rFonts w:hint="eastAsia" w:ascii="楷体_GB2312" w:hAnsi="楷体_GB2312" w:eastAsia="楷体_GB2312" w:cs="楷体_GB2312"/>
          <w:b/>
          <w:sz w:val="28"/>
          <w:szCs w:val="28"/>
          <w:highlight w:val="none"/>
          <w:lang w:eastAsia="zh-CN"/>
        </w:rPr>
        <w:t>国有资本经营情况</w:t>
      </w:r>
    </w:p>
    <w:p>
      <w:pPr>
        <w:spacing w:line="540" w:lineRule="exact"/>
        <w:ind w:firstLine="560" w:firstLineChars="200"/>
        <w:rPr>
          <w:rFonts w:hint="default" w:ascii="仿宋_GB2312" w:eastAsia="仿宋_GB2312"/>
          <w:sz w:val="28"/>
          <w:szCs w:val="28"/>
          <w:highlight w:val="none"/>
          <w:lang w:val="en-US" w:eastAsia="zh-CN"/>
        </w:rPr>
      </w:pP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rPr>
        <w:t>本部门没有</w:t>
      </w:r>
      <w:r>
        <w:rPr>
          <w:rFonts w:hint="eastAsia" w:ascii="仿宋_GB2312" w:eastAsia="仿宋_GB2312"/>
          <w:sz w:val="28"/>
          <w:szCs w:val="28"/>
          <w:highlight w:val="none"/>
          <w:lang w:eastAsia="zh-CN"/>
        </w:rPr>
        <w:t>国有资本经营</w:t>
      </w:r>
      <w:r>
        <w:rPr>
          <w:rFonts w:hint="eastAsia" w:ascii="仿宋_GB2312" w:eastAsia="仿宋_GB2312"/>
          <w:sz w:val="28"/>
          <w:szCs w:val="28"/>
          <w:highlight w:val="none"/>
        </w:rPr>
        <w:t>预算</w:t>
      </w:r>
      <w:r>
        <w:rPr>
          <w:rFonts w:hint="eastAsia" w:ascii="仿宋_GB2312" w:eastAsia="仿宋_GB2312"/>
          <w:sz w:val="28"/>
          <w:szCs w:val="28"/>
          <w:highlight w:val="none"/>
          <w:lang w:eastAsia="zh-CN"/>
        </w:rPr>
        <w:t>拨款安排的支出</w:t>
      </w:r>
      <w:r>
        <w:rPr>
          <w:rFonts w:hint="eastAsia" w:ascii="仿宋_GB2312" w:eastAsia="仿宋_GB2312"/>
          <w:sz w:val="28"/>
          <w:szCs w:val="28"/>
          <w:highlight w:val="none"/>
        </w:rPr>
        <w:t>。</w:t>
      </w:r>
    </w:p>
    <w:p>
      <w:pPr>
        <w:numPr>
          <w:ilvl w:val="0"/>
          <w:numId w:val="0"/>
        </w:numPr>
        <w:spacing w:line="540" w:lineRule="exact"/>
        <w:ind w:firstLine="562" w:firstLineChars="200"/>
        <w:rPr>
          <w:rFonts w:hint="eastAsia" w:ascii="楷体_GB2312" w:hAnsi="楷体_GB2312" w:eastAsia="楷体_GB2312" w:cs="楷体_GB2312"/>
          <w:b/>
          <w:sz w:val="28"/>
          <w:szCs w:val="28"/>
          <w:highlight w:val="none"/>
        </w:rPr>
      </w:pPr>
      <w:r>
        <w:rPr>
          <w:rFonts w:hint="eastAsia" w:ascii="楷体_GB2312" w:hAnsi="楷体_GB2312" w:eastAsia="楷体_GB2312" w:cs="楷体_GB2312"/>
          <w:b/>
          <w:sz w:val="28"/>
          <w:szCs w:val="28"/>
          <w:highlight w:val="none"/>
        </w:rPr>
        <w:t>（</w:t>
      </w:r>
      <w:r>
        <w:rPr>
          <w:rFonts w:hint="eastAsia" w:ascii="楷体_GB2312" w:hAnsi="楷体_GB2312" w:eastAsia="楷体_GB2312" w:cs="楷体_GB2312"/>
          <w:b/>
          <w:sz w:val="28"/>
          <w:szCs w:val="28"/>
          <w:highlight w:val="none"/>
          <w:lang w:eastAsia="zh-CN"/>
        </w:rPr>
        <w:t>六</w:t>
      </w:r>
      <w:r>
        <w:rPr>
          <w:rFonts w:hint="eastAsia" w:ascii="楷体_GB2312" w:hAnsi="楷体_GB2312" w:eastAsia="楷体_GB2312" w:cs="楷体_GB2312"/>
          <w:b/>
          <w:sz w:val="28"/>
          <w:szCs w:val="28"/>
          <w:highlight w:val="none"/>
        </w:rPr>
        <w:t>）</w:t>
      </w:r>
      <w:bookmarkStart w:id="0" w:name="OLE_LINK4"/>
      <w:r>
        <w:rPr>
          <w:rFonts w:hint="eastAsia" w:ascii="楷体_GB2312" w:hAnsi="楷体_GB2312" w:eastAsia="楷体_GB2312" w:cs="楷体_GB2312"/>
          <w:b/>
          <w:sz w:val="28"/>
          <w:szCs w:val="28"/>
          <w:highlight w:val="none"/>
        </w:rPr>
        <w:t>机关运行经费</w:t>
      </w:r>
      <w:bookmarkEnd w:id="0"/>
      <w:r>
        <w:rPr>
          <w:rFonts w:hint="eastAsia" w:ascii="楷体_GB2312" w:hAnsi="楷体_GB2312" w:eastAsia="楷体_GB2312" w:cs="楷体_GB2312"/>
          <w:b/>
          <w:sz w:val="28"/>
          <w:szCs w:val="28"/>
          <w:highlight w:val="none"/>
        </w:rPr>
        <w:t>等重要情况说明</w:t>
      </w:r>
    </w:p>
    <w:p>
      <w:pPr>
        <w:spacing w:line="54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202</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年本部门机关运行经费为</w:t>
      </w:r>
      <w:r>
        <w:rPr>
          <w:rFonts w:hint="eastAsia" w:ascii="仿宋_GB2312" w:eastAsia="仿宋_GB2312"/>
          <w:sz w:val="28"/>
          <w:szCs w:val="28"/>
          <w:highlight w:val="none"/>
          <w:lang w:val="en-US" w:eastAsia="zh-CN"/>
        </w:rPr>
        <w:t>547.37</w:t>
      </w:r>
      <w:r>
        <w:rPr>
          <w:rFonts w:hint="eastAsia" w:ascii="仿宋_GB2312" w:eastAsia="仿宋_GB2312"/>
          <w:sz w:val="28"/>
          <w:szCs w:val="28"/>
          <w:highlight w:val="none"/>
        </w:rPr>
        <w:t>万元，较上年减少</w:t>
      </w:r>
      <w:r>
        <w:rPr>
          <w:rFonts w:hint="eastAsia" w:ascii="仿宋_GB2312" w:eastAsia="仿宋_GB2312"/>
          <w:sz w:val="28"/>
          <w:szCs w:val="28"/>
          <w:highlight w:val="none"/>
          <w:lang w:val="en-US" w:eastAsia="zh-CN"/>
        </w:rPr>
        <w:t>139.16</w:t>
      </w:r>
      <w:r>
        <w:rPr>
          <w:rFonts w:hint="eastAsia" w:ascii="仿宋_GB2312" w:eastAsia="仿宋_GB2312"/>
          <w:sz w:val="28"/>
          <w:szCs w:val="28"/>
          <w:highlight w:val="none"/>
        </w:rPr>
        <w:t>万元，下降</w:t>
      </w:r>
      <w:r>
        <w:rPr>
          <w:rFonts w:hint="eastAsia" w:ascii="仿宋_GB2312" w:eastAsia="仿宋_GB2312"/>
          <w:sz w:val="28"/>
          <w:szCs w:val="28"/>
          <w:highlight w:val="none"/>
          <w:lang w:val="en-US" w:eastAsia="zh-CN"/>
        </w:rPr>
        <w:t>20.3</w:t>
      </w:r>
      <w:r>
        <w:rPr>
          <w:rFonts w:hint="eastAsia" w:ascii="仿宋_GB2312" w:eastAsia="仿宋_GB2312"/>
          <w:sz w:val="28"/>
          <w:szCs w:val="28"/>
          <w:highlight w:val="none"/>
        </w:rPr>
        <w:t>%。减少的原因主要是</w:t>
      </w:r>
      <w:r>
        <w:rPr>
          <w:rFonts w:hint="eastAsia" w:ascii="仿宋_GB2312" w:eastAsia="仿宋_GB2312"/>
          <w:sz w:val="28"/>
          <w:szCs w:val="28"/>
          <w:highlight w:val="none"/>
          <w:lang w:eastAsia="zh-CN"/>
        </w:rPr>
        <w:t>上年度有机关运行经费结余</w:t>
      </w:r>
      <w:r>
        <w:rPr>
          <w:rFonts w:hint="eastAsia" w:ascii="仿宋_GB2312" w:eastAsia="仿宋_GB2312"/>
          <w:sz w:val="28"/>
          <w:szCs w:val="28"/>
          <w:highlight w:val="none"/>
          <w:lang w:val="en-US" w:eastAsia="zh-CN"/>
        </w:rPr>
        <w:t>100.98万元</w:t>
      </w:r>
      <w:r>
        <w:rPr>
          <w:rFonts w:hint="eastAsia" w:ascii="仿宋_GB2312" w:eastAsia="仿宋_GB2312"/>
          <w:sz w:val="28"/>
          <w:szCs w:val="28"/>
          <w:highlight w:val="none"/>
          <w:lang w:eastAsia="zh-CN"/>
        </w:rPr>
        <w:t>，本年度无结余</w:t>
      </w:r>
      <w:r>
        <w:rPr>
          <w:rFonts w:hint="eastAsia" w:ascii="仿宋_GB2312" w:eastAsia="仿宋_GB2312"/>
          <w:sz w:val="28"/>
          <w:szCs w:val="28"/>
          <w:highlight w:val="none"/>
        </w:rPr>
        <w:t>。</w:t>
      </w:r>
    </w:p>
    <w:p>
      <w:pPr>
        <w:spacing w:line="540" w:lineRule="exact"/>
        <w:ind w:firstLine="560" w:firstLineChars="200"/>
        <w:rPr>
          <w:rFonts w:hint="eastAsia" w:ascii="仿宋_GB2312" w:eastAsia="仿宋_GB2312"/>
          <w:sz w:val="28"/>
          <w:szCs w:val="28"/>
          <w:highlight w:val="none"/>
        </w:rPr>
      </w:pPr>
      <w:r>
        <w:rPr>
          <w:rFonts w:hint="eastAsia" w:ascii="仿宋_GB2312" w:hAnsi="Times New Roman" w:eastAsia="仿宋_GB2312" w:cs="Times New Roman"/>
          <w:sz w:val="28"/>
          <w:szCs w:val="28"/>
          <w:highlight w:val="none"/>
        </w:rPr>
        <w:t>按照财政部《地方预决算公开操作规程》明确的口径，机关运行费指各部门的公用经费，包括办公及印刷费、邮电费、</w:t>
      </w:r>
      <w:bookmarkStart w:id="1" w:name="_GoBack"/>
      <w:bookmarkEnd w:id="1"/>
      <w:r>
        <w:rPr>
          <w:rFonts w:hint="eastAsia" w:ascii="仿宋_GB2312" w:hAnsi="Times New Roman" w:eastAsia="仿宋_GB2312" w:cs="Times New Roman"/>
          <w:sz w:val="28"/>
          <w:szCs w:val="28"/>
          <w:highlight w:val="none"/>
        </w:rPr>
        <w:t>差旅费、会议费、福利费、日常维修费、专用材料及一般设备购置费、办公用房水电费、办公用房取暖费、办公用房物业管理费、公务用车运行维护费以及其他费用。</w:t>
      </w:r>
    </w:p>
    <w:p>
      <w:pPr>
        <w:spacing w:line="540" w:lineRule="exact"/>
        <w:ind w:firstLine="562" w:firstLineChars="200"/>
        <w:rPr>
          <w:rFonts w:hint="eastAsia" w:ascii="楷体_GB2312" w:hAnsi="楷体_GB2312" w:eastAsia="楷体_GB2312" w:cs="楷体_GB2312"/>
          <w:b/>
          <w:sz w:val="28"/>
          <w:szCs w:val="28"/>
          <w:highlight w:val="none"/>
        </w:rPr>
      </w:pPr>
      <w:r>
        <w:rPr>
          <w:rFonts w:hint="eastAsia" w:ascii="楷体_GB2312" w:hAnsi="楷体_GB2312" w:eastAsia="楷体_GB2312" w:cs="楷体_GB2312"/>
          <w:b/>
          <w:sz w:val="28"/>
          <w:szCs w:val="28"/>
          <w:highlight w:val="none"/>
        </w:rPr>
        <w:t>（</w:t>
      </w:r>
      <w:r>
        <w:rPr>
          <w:rFonts w:hint="eastAsia" w:ascii="楷体_GB2312" w:hAnsi="楷体_GB2312" w:eastAsia="楷体_GB2312" w:cs="楷体_GB2312"/>
          <w:b/>
          <w:sz w:val="28"/>
          <w:szCs w:val="28"/>
          <w:highlight w:val="none"/>
          <w:lang w:eastAsia="zh-CN"/>
        </w:rPr>
        <w:t>七</w:t>
      </w:r>
      <w:r>
        <w:rPr>
          <w:rFonts w:hint="eastAsia" w:ascii="楷体_GB2312" w:hAnsi="楷体_GB2312" w:eastAsia="楷体_GB2312" w:cs="楷体_GB2312"/>
          <w:b/>
          <w:sz w:val="28"/>
          <w:szCs w:val="28"/>
          <w:highlight w:val="none"/>
        </w:rPr>
        <w:t>）</w:t>
      </w:r>
      <w:r>
        <w:rPr>
          <w:rFonts w:hint="eastAsia" w:ascii="楷体_GB2312" w:hAnsi="楷体_GB2312" w:eastAsia="楷体_GB2312" w:cs="楷体_GB2312"/>
          <w:b/>
          <w:bCs/>
          <w:sz w:val="28"/>
          <w:szCs w:val="28"/>
          <w:highlight w:val="none"/>
        </w:rPr>
        <w:t>政府采购情况说明</w:t>
      </w:r>
    </w:p>
    <w:p>
      <w:pPr>
        <w:spacing w:line="540" w:lineRule="exact"/>
        <w:ind w:firstLine="560" w:firstLineChars="200"/>
        <w:rPr>
          <w:rFonts w:hint="eastAsia" w:ascii="仿宋_GB2312" w:eastAsia="仿宋_GB2312"/>
          <w:color w:val="FF0000"/>
          <w:sz w:val="28"/>
          <w:szCs w:val="28"/>
          <w:highlight w:val="none"/>
        </w:rPr>
      </w:pPr>
      <w:r>
        <w:rPr>
          <w:rFonts w:hint="eastAsia" w:ascii="仿宋_GB2312" w:eastAsia="仿宋_GB2312"/>
          <w:sz w:val="28"/>
          <w:szCs w:val="28"/>
          <w:highlight w:val="none"/>
        </w:rPr>
        <w:t>202</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年我</w:t>
      </w:r>
      <w:r>
        <w:rPr>
          <w:rFonts w:hint="eastAsia" w:ascii="仿宋_GB2312" w:eastAsia="仿宋_GB2312"/>
          <w:sz w:val="28"/>
          <w:szCs w:val="28"/>
          <w:highlight w:val="none"/>
          <w:lang w:eastAsia="zh-CN"/>
        </w:rPr>
        <w:t>中心</w:t>
      </w:r>
      <w:r>
        <w:rPr>
          <w:rFonts w:hint="eastAsia" w:ascii="仿宋_GB2312" w:eastAsia="仿宋_GB2312"/>
          <w:sz w:val="28"/>
          <w:szCs w:val="28"/>
          <w:highlight w:val="none"/>
        </w:rPr>
        <w:t>政府采购预算共安排</w:t>
      </w:r>
      <w:r>
        <w:rPr>
          <w:rFonts w:hint="eastAsia" w:ascii="仿宋_GB2312" w:eastAsia="仿宋_GB2312"/>
          <w:sz w:val="28"/>
          <w:szCs w:val="28"/>
          <w:highlight w:val="none"/>
          <w:lang w:val="en-US" w:eastAsia="zh-CN"/>
        </w:rPr>
        <w:t>249.84</w:t>
      </w:r>
      <w:r>
        <w:rPr>
          <w:rFonts w:hint="eastAsia" w:ascii="仿宋_GB2312" w:eastAsia="仿宋_GB2312"/>
          <w:sz w:val="28"/>
          <w:szCs w:val="28"/>
          <w:highlight w:val="none"/>
        </w:rPr>
        <w:t>万元。其中，货物预算</w:t>
      </w:r>
      <w:r>
        <w:rPr>
          <w:rFonts w:hint="eastAsia" w:ascii="仿宋_GB2312" w:eastAsia="仿宋_GB2312"/>
          <w:sz w:val="28"/>
          <w:szCs w:val="28"/>
          <w:highlight w:val="none"/>
          <w:lang w:val="en-US" w:eastAsia="zh-CN"/>
        </w:rPr>
        <w:t>74.04</w:t>
      </w:r>
      <w:r>
        <w:rPr>
          <w:rFonts w:hint="eastAsia" w:ascii="仿宋_GB2312" w:eastAsia="仿宋_GB2312"/>
          <w:sz w:val="28"/>
          <w:szCs w:val="28"/>
          <w:highlight w:val="none"/>
        </w:rPr>
        <w:t>万元，工程预算</w:t>
      </w:r>
      <w:r>
        <w:rPr>
          <w:rFonts w:hint="eastAsia" w:ascii="仿宋_GB2312" w:eastAsia="仿宋_GB2312"/>
          <w:sz w:val="28"/>
          <w:szCs w:val="28"/>
          <w:highlight w:val="none"/>
          <w:lang w:val="en-US" w:eastAsia="zh-CN"/>
        </w:rPr>
        <w:t>11</w:t>
      </w:r>
      <w:r>
        <w:rPr>
          <w:rFonts w:hint="eastAsia" w:ascii="仿宋_GB2312" w:eastAsia="仿宋_GB2312"/>
          <w:sz w:val="28"/>
          <w:szCs w:val="28"/>
          <w:highlight w:val="none"/>
        </w:rPr>
        <w:t>万元，服务预算</w:t>
      </w:r>
      <w:r>
        <w:rPr>
          <w:rFonts w:hint="eastAsia" w:ascii="仿宋_GB2312" w:eastAsia="仿宋_GB2312"/>
          <w:sz w:val="28"/>
          <w:szCs w:val="28"/>
          <w:highlight w:val="none"/>
          <w:lang w:val="en-US" w:eastAsia="zh-CN"/>
        </w:rPr>
        <w:t>164.8</w:t>
      </w:r>
      <w:r>
        <w:rPr>
          <w:rFonts w:hint="eastAsia" w:ascii="仿宋_GB2312" w:eastAsia="仿宋_GB2312"/>
          <w:sz w:val="28"/>
          <w:szCs w:val="28"/>
          <w:highlight w:val="none"/>
        </w:rPr>
        <w:t>万元。</w:t>
      </w:r>
    </w:p>
    <w:p>
      <w:pPr>
        <w:widowControl/>
        <w:spacing w:line="540" w:lineRule="exact"/>
        <w:ind w:firstLine="562" w:firstLineChars="200"/>
        <w:jc w:val="left"/>
        <w:rPr>
          <w:rFonts w:hint="eastAsia" w:ascii="楷体_GB2312" w:hAnsi="楷体_GB2312" w:eastAsia="楷体_GB2312" w:cs="楷体_GB2312"/>
          <w:b/>
          <w:sz w:val="28"/>
          <w:szCs w:val="28"/>
          <w:highlight w:val="none"/>
        </w:rPr>
      </w:pPr>
      <w:r>
        <w:rPr>
          <w:rFonts w:hint="eastAsia" w:ascii="楷体_GB2312" w:hAnsi="楷体_GB2312" w:eastAsia="楷体_GB2312" w:cs="楷体_GB2312"/>
          <w:b/>
          <w:sz w:val="28"/>
          <w:szCs w:val="28"/>
          <w:highlight w:val="none"/>
        </w:rPr>
        <w:t>（</w:t>
      </w:r>
      <w:r>
        <w:rPr>
          <w:rFonts w:hint="eastAsia" w:ascii="楷体_GB2312" w:hAnsi="楷体_GB2312" w:eastAsia="楷体_GB2312" w:cs="楷体_GB2312"/>
          <w:b/>
          <w:sz w:val="28"/>
          <w:szCs w:val="28"/>
          <w:highlight w:val="none"/>
          <w:lang w:eastAsia="zh-CN"/>
        </w:rPr>
        <w:t>八</w:t>
      </w:r>
      <w:r>
        <w:rPr>
          <w:rFonts w:hint="eastAsia" w:ascii="楷体_GB2312" w:hAnsi="楷体_GB2312" w:eastAsia="楷体_GB2312" w:cs="楷体_GB2312"/>
          <w:b/>
          <w:sz w:val="28"/>
          <w:szCs w:val="28"/>
          <w:highlight w:val="none"/>
        </w:rPr>
        <w:t>）</w:t>
      </w:r>
      <w:r>
        <w:rPr>
          <w:rFonts w:hint="eastAsia" w:ascii="楷体_GB2312" w:hAnsi="楷体_GB2312" w:eastAsia="楷体_GB2312" w:cs="楷体_GB2312"/>
          <w:b/>
          <w:bCs/>
          <w:sz w:val="28"/>
          <w:szCs w:val="28"/>
          <w:highlight w:val="none"/>
        </w:rPr>
        <w:t>国有资产占有使用情况</w:t>
      </w:r>
    </w:p>
    <w:p>
      <w:pPr>
        <w:widowControl/>
        <w:spacing w:line="540" w:lineRule="exact"/>
        <w:ind w:firstLine="560" w:firstLineChars="200"/>
        <w:jc w:val="left"/>
        <w:rPr>
          <w:rFonts w:hint="eastAsia" w:ascii="仿宋_GB2312" w:eastAsia="仿宋_GB2312"/>
          <w:sz w:val="28"/>
          <w:szCs w:val="28"/>
          <w:highlight w:val="none"/>
        </w:rPr>
      </w:pPr>
      <w:r>
        <w:rPr>
          <w:rFonts w:hint="eastAsia" w:ascii="仿宋_GB2312" w:eastAsia="仿宋_GB2312"/>
          <w:sz w:val="28"/>
          <w:szCs w:val="28"/>
          <w:highlight w:val="none"/>
        </w:rPr>
        <w:t>截至202</w:t>
      </w:r>
      <w:r>
        <w:rPr>
          <w:rFonts w:hint="eastAsia" w:ascii="仿宋_GB2312" w:eastAsia="仿宋_GB2312"/>
          <w:sz w:val="28"/>
          <w:szCs w:val="28"/>
          <w:highlight w:val="none"/>
          <w:lang w:val="en-US" w:eastAsia="zh-CN"/>
        </w:rPr>
        <w:t>1</w:t>
      </w:r>
      <w:r>
        <w:rPr>
          <w:rFonts w:hint="eastAsia" w:ascii="仿宋_GB2312" w:eastAsia="仿宋_GB2312"/>
          <w:sz w:val="28"/>
          <w:szCs w:val="28"/>
          <w:highlight w:val="none"/>
        </w:rPr>
        <w:t>年8月31日，部门共有车辆</w:t>
      </w:r>
      <w:r>
        <w:rPr>
          <w:rFonts w:hint="eastAsia" w:ascii="仿宋_GB2312" w:eastAsia="仿宋_GB2312"/>
          <w:sz w:val="28"/>
          <w:szCs w:val="28"/>
          <w:highlight w:val="none"/>
          <w:lang w:val="en-US" w:eastAsia="zh-CN"/>
        </w:rPr>
        <w:t>0</w:t>
      </w:r>
      <w:r>
        <w:rPr>
          <w:rFonts w:hint="eastAsia" w:ascii="仿宋_GB2312" w:eastAsia="仿宋_GB2312"/>
          <w:sz w:val="28"/>
          <w:szCs w:val="28"/>
          <w:highlight w:val="none"/>
        </w:rPr>
        <w:t>辆，其中，一般公务用车</w:t>
      </w:r>
      <w:r>
        <w:rPr>
          <w:rFonts w:hint="eastAsia" w:ascii="仿宋_GB2312" w:eastAsia="仿宋_GB2312"/>
          <w:sz w:val="28"/>
          <w:szCs w:val="28"/>
          <w:highlight w:val="none"/>
          <w:lang w:val="en-US" w:eastAsia="zh-CN"/>
        </w:rPr>
        <w:t>0</w:t>
      </w:r>
      <w:r>
        <w:rPr>
          <w:rFonts w:hint="eastAsia" w:ascii="仿宋_GB2312" w:eastAsia="仿宋_GB2312"/>
          <w:sz w:val="28"/>
          <w:szCs w:val="28"/>
          <w:highlight w:val="none"/>
        </w:rPr>
        <w:t>辆，执法执勤用车</w:t>
      </w:r>
      <w:r>
        <w:rPr>
          <w:rFonts w:hint="eastAsia" w:ascii="仿宋_GB2312" w:eastAsia="仿宋_GB2312"/>
          <w:sz w:val="28"/>
          <w:szCs w:val="28"/>
          <w:highlight w:val="none"/>
          <w:lang w:val="en-US" w:eastAsia="zh-CN"/>
        </w:rPr>
        <w:t>0</w:t>
      </w:r>
      <w:r>
        <w:rPr>
          <w:rFonts w:hint="eastAsia" w:ascii="仿宋_GB2312" w:eastAsia="仿宋_GB2312"/>
          <w:sz w:val="28"/>
          <w:szCs w:val="28"/>
          <w:highlight w:val="none"/>
        </w:rPr>
        <w:t>辆。</w:t>
      </w:r>
    </w:p>
    <w:p>
      <w:pPr>
        <w:widowControl/>
        <w:spacing w:line="540" w:lineRule="exact"/>
        <w:ind w:firstLine="560" w:firstLineChars="200"/>
        <w:jc w:val="left"/>
        <w:rPr>
          <w:rFonts w:hint="eastAsia" w:ascii="仿宋_GB2312" w:eastAsia="仿宋_GB2312"/>
          <w:sz w:val="28"/>
          <w:szCs w:val="28"/>
          <w:highlight w:val="none"/>
          <w:lang w:eastAsia="zh-CN"/>
        </w:rPr>
      </w:pPr>
      <w:r>
        <w:rPr>
          <w:rFonts w:hint="eastAsia" w:ascii="仿宋_GB2312" w:eastAsia="仿宋_GB2312"/>
          <w:sz w:val="28"/>
          <w:szCs w:val="28"/>
          <w:highlight w:val="none"/>
        </w:rPr>
        <w:t>202</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年部门预算安排购置车辆</w:t>
      </w:r>
      <w:r>
        <w:rPr>
          <w:rFonts w:hint="eastAsia" w:ascii="仿宋_GB2312" w:eastAsia="仿宋_GB2312"/>
          <w:sz w:val="28"/>
          <w:szCs w:val="28"/>
          <w:highlight w:val="none"/>
          <w:lang w:val="en-US" w:eastAsia="zh-CN"/>
        </w:rPr>
        <w:t>0</w:t>
      </w:r>
      <w:r>
        <w:rPr>
          <w:rFonts w:hint="eastAsia" w:ascii="仿宋_GB2312" w:eastAsia="仿宋_GB2312"/>
          <w:sz w:val="28"/>
          <w:szCs w:val="28"/>
          <w:highlight w:val="none"/>
        </w:rPr>
        <w:t>辆，</w:t>
      </w:r>
      <w:r>
        <w:rPr>
          <w:rFonts w:hint="eastAsia" w:ascii="仿宋_GB2312" w:eastAsia="仿宋_GB2312"/>
          <w:sz w:val="28"/>
          <w:szCs w:val="28"/>
          <w:highlight w:val="none"/>
          <w:lang w:eastAsia="zh-CN"/>
        </w:rPr>
        <w:t>未</w:t>
      </w:r>
      <w:r>
        <w:rPr>
          <w:rFonts w:hint="eastAsia" w:ascii="仿宋_GB2312" w:eastAsia="仿宋_GB2312"/>
          <w:sz w:val="28"/>
          <w:szCs w:val="28"/>
          <w:highlight w:val="none"/>
        </w:rPr>
        <w:t>安排购置单位价值200万元以上大型设备</w:t>
      </w:r>
      <w:r>
        <w:rPr>
          <w:rFonts w:hint="eastAsia" w:ascii="仿宋_GB2312" w:eastAsia="仿宋_GB2312"/>
          <w:sz w:val="28"/>
          <w:szCs w:val="28"/>
          <w:highlight w:val="none"/>
          <w:lang w:eastAsia="zh-CN"/>
        </w:rPr>
        <w:t>。</w:t>
      </w:r>
    </w:p>
    <w:p>
      <w:pPr>
        <w:widowControl/>
        <w:spacing w:line="540" w:lineRule="exact"/>
        <w:ind w:firstLine="562" w:firstLineChars="200"/>
        <w:jc w:val="left"/>
        <w:rPr>
          <w:rFonts w:hint="eastAsia" w:ascii="楷体_GB2312" w:hAnsi="楷体_GB2312" w:eastAsia="楷体_GB2312" w:cs="楷体_GB2312"/>
          <w:b/>
          <w:sz w:val="28"/>
          <w:szCs w:val="28"/>
          <w:highlight w:val="none"/>
        </w:rPr>
      </w:pPr>
      <w:r>
        <w:rPr>
          <w:rFonts w:hint="eastAsia" w:ascii="楷体_GB2312" w:hAnsi="楷体_GB2312" w:eastAsia="楷体_GB2312" w:cs="楷体_GB2312"/>
          <w:b/>
          <w:sz w:val="28"/>
          <w:szCs w:val="28"/>
          <w:highlight w:val="none"/>
        </w:rPr>
        <w:t>（</w:t>
      </w:r>
      <w:r>
        <w:rPr>
          <w:rFonts w:hint="eastAsia" w:ascii="楷体_GB2312" w:hAnsi="楷体_GB2312" w:eastAsia="楷体_GB2312" w:cs="楷体_GB2312"/>
          <w:b/>
          <w:sz w:val="28"/>
          <w:szCs w:val="28"/>
          <w:highlight w:val="none"/>
          <w:lang w:eastAsia="zh-CN"/>
        </w:rPr>
        <w:t>九</w:t>
      </w:r>
      <w:r>
        <w:rPr>
          <w:rFonts w:hint="eastAsia" w:ascii="楷体_GB2312" w:hAnsi="楷体_GB2312" w:eastAsia="楷体_GB2312" w:cs="楷体_GB2312"/>
          <w:b/>
          <w:sz w:val="28"/>
          <w:szCs w:val="28"/>
          <w:highlight w:val="none"/>
        </w:rPr>
        <w:t>）</w:t>
      </w:r>
      <w:r>
        <w:rPr>
          <w:rFonts w:hint="eastAsia" w:ascii="楷体_GB2312" w:hAnsi="楷体_GB2312" w:eastAsia="楷体_GB2312" w:cs="楷体_GB2312"/>
          <w:b/>
          <w:bCs/>
          <w:sz w:val="28"/>
          <w:szCs w:val="28"/>
          <w:highlight w:val="none"/>
          <w:lang w:eastAsia="zh-CN"/>
        </w:rPr>
        <w:t>项目</w:t>
      </w:r>
      <w:r>
        <w:rPr>
          <w:rFonts w:hint="eastAsia" w:ascii="楷体_GB2312" w:hAnsi="楷体_GB2312" w:eastAsia="楷体_GB2312" w:cs="楷体_GB2312"/>
          <w:b/>
          <w:bCs/>
          <w:sz w:val="28"/>
          <w:szCs w:val="28"/>
          <w:highlight w:val="none"/>
        </w:rPr>
        <w:t>绩效情况</w:t>
      </w:r>
    </w:p>
    <w:p>
      <w:pPr>
        <w:widowControl/>
        <w:spacing w:line="540" w:lineRule="exact"/>
        <w:ind w:firstLine="560" w:firstLineChars="20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1、土储、棚改项目：</w:t>
      </w:r>
    </w:p>
    <w:p>
      <w:pPr>
        <w:widowControl/>
        <w:numPr>
          <w:ilvl w:val="0"/>
          <w:numId w:val="0"/>
        </w:numPr>
        <w:spacing w:line="540" w:lineRule="exact"/>
        <w:ind w:firstLine="560" w:firstLineChars="200"/>
        <w:jc w:val="left"/>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1）</w:t>
      </w:r>
      <w:r>
        <w:rPr>
          <w:rFonts w:hint="eastAsia" w:ascii="仿宋_GB2312" w:hAnsi="仿宋_GB2312" w:eastAsia="仿宋_GB2312" w:cs="仿宋_GB2312"/>
          <w:sz w:val="28"/>
          <w:szCs w:val="28"/>
          <w:highlight w:val="none"/>
        </w:rPr>
        <w:t>项目概述：按照年度土地</w:t>
      </w:r>
      <w:r>
        <w:rPr>
          <w:rFonts w:hint="eastAsia" w:ascii="仿宋_GB2312" w:hAnsi="仿宋_GB2312" w:eastAsia="仿宋_GB2312" w:cs="仿宋_GB2312"/>
          <w:sz w:val="28"/>
          <w:szCs w:val="28"/>
          <w:highlight w:val="none"/>
          <w:lang w:eastAsia="zh-CN"/>
        </w:rPr>
        <w:t>储备计划</w:t>
      </w: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eastAsia="zh-CN"/>
        </w:rPr>
        <w:t>前期开发</w:t>
      </w:r>
      <w:r>
        <w:rPr>
          <w:rFonts w:hint="eastAsia" w:ascii="仿宋_GB2312" w:hAnsi="仿宋_GB2312" w:eastAsia="仿宋_GB2312" w:cs="仿宋_GB2312"/>
          <w:sz w:val="28"/>
          <w:szCs w:val="28"/>
          <w:highlight w:val="none"/>
        </w:rPr>
        <w:t>计划，完成土地收储</w:t>
      </w:r>
      <w:r>
        <w:rPr>
          <w:rFonts w:hint="eastAsia" w:ascii="仿宋_GB2312" w:hAnsi="仿宋_GB2312" w:eastAsia="仿宋_GB2312" w:cs="仿宋_GB2312"/>
          <w:sz w:val="28"/>
          <w:szCs w:val="28"/>
          <w:highlight w:val="none"/>
          <w:lang w:eastAsia="zh-CN"/>
        </w:rPr>
        <w:t>和前期开发</w:t>
      </w:r>
      <w:r>
        <w:rPr>
          <w:rFonts w:hint="eastAsia" w:ascii="仿宋_GB2312" w:hAnsi="仿宋_GB2312" w:eastAsia="仿宋_GB2312" w:cs="仿宋_GB2312"/>
          <w:sz w:val="28"/>
          <w:szCs w:val="28"/>
          <w:highlight w:val="none"/>
        </w:rPr>
        <w:t>；积极筹措资金，保障土储、棚改项目和偿还债务本息的资金需要；合理制订出让计划，加大净地交付力度，完成土地出让</w:t>
      </w:r>
      <w:r>
        <w:rPr>
          <w:rFonts w:hint="eastAsia" w:ascii="仿宋_GB2312" w:hAnsi="仿宋_GB2312" w:eastAsia="仿宋_GB2312" w:cs="仿宋_GB2312"/>
          <w:sz w:val="28"/>
          <w:szCs w:val="28"/>
          <w:highlight w:val="none"/>
          <w:lang w:eastAsia="zh-CN"/>
        </w:rPr>
        <w:t>，对储备地块合理临时利用，防止国有资产流失。</w:t>
      </w:r>
    </w:p>
    <w:p>
      <w:pPr>
        <w:widowControl/>
        <w:numPr>
          <w:ilvl w:val="0"/>
          <w:numId w:val="0"/>
        </w:numPr>
        <w:spacing w:line="540" w:lineRule="exact"/>
        <w:ind w:firstLine="560" w:firstLineChars="200"/>
        <w:jc w:val="left"/>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2）立项依据：</w:t>
      </w:r>
    </w:p>
    <w:p>
      <w:pPr>
        <w:widowControl/>
        <w:numPr>
          <w:ilvl w:val="0"/>
          <w:numId w:val="0"/>
        </w:numPr>
        <w:spacing w:line="540" w:lineRule="exact"/>
        <w:ind w:firstLine="560" w:firstLineChars="200"/>
        <w:jc w:val="left"/>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2015年我中心通过市局将《关于请求解决市土地储备中心日常工作经费的请示》（洪国土资文〔2015〕262号）上报市政府，并获批同意拨付工作经费（洪府厅抄字〔2015〕444号）。</w:t>
      </w:r>
    </w:p>
    <w:p>
      <w:pPr>
        <w:widowControl/>
        <w:numPr>
          <w:ilvl w:val="0"/>
          <w:numId w:val="0"/>
        </w:numPr>
        <w:spacing w:line="540" w:lineRule="exact"/>
        <w:ind w:firstLine="560" w:firstLineChars="200"/>
        <w:jc w:val="left"/>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3）</w:t>
      </w:r>
      <w:r>
        <w:rPr>
          <w:rFonts w:hint="eastAsia" w:ascii="仿宋_GB2312" w:hAnsi="仿宋_GB2312" w:eastAsia="仿宋_GB2312" w:cs="仿宋_GB2312"/>
          <w:sz w:val="28"/>
          <w:szCs w:val="28"/>
          <w:highlight w:val="none"/>
        </w:rPr>
        <w:t>实施主体：</w:t>
      </w:r>
      <w:r>
        <w:rPr>
          <w:rFonts w:hint="eastAsia" w:ascii="仿宋_GB2312" w:hAnsi="仿宋_GB2312" w:eastAsia="仿宋_GB2312" w:cs="仿宋_GB2312"/>
          <w:sz w:val="28"/>
          <w:szCs w:val="28"/>
          <w:highlight w:val="none"/>
          <w:lang w:eastAsia="zh-CN"/>
        </w:rPr>
        <w:t>南昌市土地储备中心</w:t>
      </w:r>
    </w:p>
    <w:p>
      <w:pPr>
        <w:widowControl/>
        <w:numPr>
          <w:ilvl w:val="0"/>
          <w:numId w:val="0"/>
        </w:numPr>
        <w:spacing w:line="540" w:lineRule="exact"/>
        <w:ind w:firstLine="560" w:firstLineChars="200"/>
        <w:jc w:val="left"/>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4）</w:t>
      </w:r>
      <w:r>
        <w:rPr>
          <w:rFonts w:hint="eastAsia" w:ascii="仿宋_GB2312" w:hAnsi="仿宋_GB2312" w:eastAsia="仿宋_GB2312" w:cs="仿宋_GB2312"/>
          <w:sz w:val="28"/>
          <w:szCs w:val="28"/>
          <w:highlight w:val="none"/>
        </w:rPr>
        <w:t>实施周期：</w:t>
      </w:r>
      <w:r>
        <w:rPr>
          <w:rFonts w:hint="eastAsia" w:ascii="仿宋_GB2312" w:hAnsi="仿宋_GB2312" w:eastAsia="仿宋_GB2312" w:cs="仿宋_GB2312"/>
          <w:sz w:val="28"/>
          <w:szCs w:val="28"/>
          <w:highlight w:val="none"/>
          <w:lang w:val="en-US" w:eastAsia="zh-CN"/>
        </w:rPr>
        <w:t xml:space="preserve"> 2022年1月1日-2022年12月31日</w:t>
      </w:r>
    </w:p>
    <w:p>
      <w:pPr>
        <w:widowControl/>
        <w:numPr>
          <w:ilvl w:val="0"/>
          <w:numId w:val="0"/>
        </w:numPr>
        <w:spacing w:line="540" w:lineRule="exact"/>
        <w:ind w:firstLine="560" w:firstLineChars="200"/>
        <w:jc w:val="left"/>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5）</w:t>
      </w:r>
      <w:r>
        <w:rPr>
          <w:rFonts w:hint="eastAsia" w:ascii="仿宋_GB2312" w:hAnsi="仿宋_GB2312" w:eastAsia="仿宋_GB2312" w:cs="仿宋_GB2312"/>
          <w:sz w:val="28"/>
          <w:szCs w:val="28"/>
          <w:highlight w:val="none"/>
        </w:rPr>
        <w:t>年度预算安排：</w:t>
      </w:r>
      <w:r>
        <w:rPr>
          <w:rFonts w:hint="eastAsia" w:ascii="仿宋_GB2312" w:hAnsi="仿宋_GB2312" w:eastAsia="仿宋_GB2312" w:cs="仿宋_GB2312"/>
          <w:sz w:val="28"/>
          <w:szCs w:val="28"/>
          <w:highlight w:val="none"/>
          <w:lang w:val="en-US" w:eastAsia="zh-CN"/>
        </w:rPr>
        <w:t>316.4万元</w:t>
      </w:r>
    </w:p>
    <w:p>
      <w:pPr>
        <w:widowControl/>
        <w:numPr>
          <w:ilvl w:val="0"/>
          <w:numId w:val="0"/>
        </w:numPr>
        <w:spacing w:line="540" w:lineRule="exact"/>
        <w:ind w:firstLine="560" w:firstLineChars="20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6）</w:t>
      </w:r>
      <w:r>
        <w:rPr>
          <w:rFonts w:hint="eastAsia" w:ascii="仿宋_GB2312" w:hAnsi="仿宋_GB2312" w:eastAsia="仿宋_GB2312" w:cs="仿宋_GB2312"/>
          <w:sz w:val="28"/>
          <w:szCs w:val="28"/>
          <w:highlight w:val="none"/>
        </w:rPr>
        <w:t>绩效目标和指标：</w:t>
      </w:r>
    </w:p>
    <w:p>
      <w:pPr>
        <w:widowControl/>
        <w:spacing w:line="540" w:lineRule="exact"/>
        <w:ind w:firstLine="560"/>
        <w:jc w:val="left"/>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数量指标：</w:t>
      </w:r>
      <w:r>
        <w:rPr>
          <w:rFonts w:hint="eastAsia" w:ascii="仿宋_GB2312" w:hAnsi="仿宋_GB2312" w:eastAsia="仿宋_GB2312" w:cs="仿宋_GB2312"/>
          <w:sz w:val="28"/>
          <w:szCs w:val="28"/>
          <w:highlight w:val="none"/>
          <w:lang w:eastAsia="zh-CN"/>
        </w:rPr>
        <w:t>完成</w:t>
      </w:r>
      <w:r>
        <w:rPr>
          <w:rFonts w:hint="eastAsia" w:ascii="仿宋_GB2312" w:hAnsi="仿宋_GB2312" w:eastAsia="仿宋_GB2312" w:cs="仿宋_GB2312"/>
          <w:sz w:val="28"/>
          <w:szCs w:val="28"/>
          <w:highlight w:val="none"/>
        </w:rPr>
        <w:t>土地储备资产利用</w:t>
      </w:r>
      <w:r>
        <w:rPr>
          <w:rFonts w:hint="eastAsia" w:ascii="仿宋_GB2312" w:hAnsi="仿宋_GB2312" w:eastAsia="仿宋_GB2312" w:cs="仿宋_GB2312"/>
          <w:sz w:val="28"/>
          <w:szCs w:val="28"/>
          <w:highlight w:val="none"/>
          <w:lang w:val="en-US" w:eastAsia="zh-CN"/>
        </w:rPr>
        <w:t>200亩。</w:t>
      </w:r>
    </w:p>
    <w:p>
      <w:pPr>
        <w:widowControl/>
        <w:spacing w:line="540" w:lineRule="exact"/>
        <w:ind w:firstLine="56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质量指标：</w:t>
      </w:r>
      <w:r>
        <w:rPr>
          <w:rFonts w:hint="eastAsia" w:ascii="仿宋_GB2312" w:hAnsi="仿宋_GB2312" w:eastAsia="仿宋_GB2312" w:cs="仿宋_GB2312"/>
          <w:sz w:val="28"/>
          <w:szCs w:val="28"/>
          <w:highlight w:val="none"/>
          <w:lang w:eastAsia="zh-CN"/>
        </w:rPr>
        <w:t>按规定完成三年滚动计划编制。</w:t>
      </w:r>
    </w:p>
    <w:p>
      <w:pPr>
        <w:widowControl/>
        <w:spacing w:line="540" w:lineRule="exact"/>
        <w:ind w:firstLine="560"/>
        <w:jc w:val="left"/>
        <w:rPr>
          <w:rFonts w:hint="default" w:ascii="仿宋_GB2312" w:hAnsi="仿宋_GB2312" w:eastAsia="仿宋_GB2312" w:cs="仿宋_GB2312"/>
          <w:sz w:val="28"/>
          <w:szCs w:val="28"/>
          <w:highlight w:val="none"/>
          <w:lang w:val="en-US"/>
        </w:rPr>
      </w:pPr>
      <w:r>
        <w:rPr>
          <w:rFonts w:hint="eastAsia" w:ascii="仿宋_GB2312" w:hAnsi="仿宋_GB2312" w:eastAsia="仿宋_GB2312" w:cs="仿宋_GB2312"/>
          <w:sz w:val="28"/>
          <w:szCs w:val="28"/>
          <w:highlight w:val="none"/>
        </w:rPr>
        <w:t>时效指标：</w:t>
      </w:r>
      <w:r>
        <w:rPr>
          <w:rFonts w:hint="eastAsia" w:ascii="仿宋_GB2312" w:hAnsi="仿宋_GB2312" w:eastAsia="仿宋_GB2312" w:cs="仿宋_GB2312"/>
          <w:sz w:val="28"/>
          <w:szCs w:val="28"/>
          <w:highlight w:val="none"/>
          <w:lang w:eastAsia="zh-CN"/>
        </w:rPr>
        <w:t>土地临时利用收回及时率</w:t>
      </w:r>
      <w:r>
        <w:rPr>
          <w:rFonts w:hint="eastAsia" w:ascii="仿宋_GB2312" w:hAnsi="仿宋_GB2312" w:eastAsia="仿宋_GB2312" w:cs="仿宋_GB2312"/>
          <w:sz w:val="28"/>
          <w:szCs w:val="28"/>
          <w:highlight w:val="none"/>
          <w:lang w:val="en-US" w:eastAsia="zh-CN"/>
        </w:rPr>
        <w:t>100%。</w:t>
      </w:r>
    </w:p>
    <w:p>
      <w:pPr>
        <w:widowControl/>
        <w:spacing w:line="540" w:lineRule="exact"/>
        <w:ind w:firstLine="56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成本指标：</w:t>
      </w:r>
      <w:r>
        <w:rPr>
          <w:rFonts w:hint="eastAsia" w:ascii="仿宋_GB2312" w:hAnsi="仿宋_GB2312" w:eastAsia="仿宋_GB2312" w:cs="仿宋_GB2312"/>
          <w:sz w:val="28"/>
          <w:szCs w:val="28"/>
          <w:highlight w:val="none"/>
          <w:lang w:eastAsia="zh-CN"/>
        </w:rPr>
        <w:t>成本支付率</w:t>
      </w:r>
      <w:r>
        <w:rPr>
          <w:rFonts w:hint="eastAsia" w:ascii="仿宋_GB2312" w:hAnsi="仿宋_GB2312" w:eastAsia="仿宋_GB2312" w:cs="仿宋_GB2312"/>
          <w:sz w:val="28"/>
          <w:szCs w:val="28"/>
          <w:highlight w:val="none"/>
          <w:lang w:val="en-US" w:eastAsia="zh-CN"/>
        </w:rPr>
        <w:t>100%。</w:t>
      </w:r>
    </w:p>
    <w:p>
      <w:pPr>
        <w:widowControl/>
        <w:spacing w:line="540" w:lineRule="exact"/>
        <w:ind w:firstLine="56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社会效益指标：</w:t>
      </w:r>
      <w:r>
        <w:rPr>
          <w:rFonts w:hint="eastAsia" w:ascii="仿宋_GB2312" w:hAnsi="仿宋_GB2312" w:eastAsia="仿宋_GB2312" w:cs="仿宋_GB2312"/>
          <w:sz w:val="28"/>
          <w:szCs w:val="28"/>
          <w:highlight w:val="none"/>
          <w:lang w:eastAsia="zh-CN"/>
        </w:rPr>
        <w:t>取得土地出让收入</w:t>
      </w:r>
      <w:r>
        <w:rPr>
          <w:rFonts w:hint="eastAsia" w:ascii="仿宋_GB2312" w:hAnsi="仿宋_GB2312" w:eastAsia="仿宋_GB2312" w:cs="仿宋_GB2312"/>
          <w:sz w:val="28"/>
          <w:szCs w:val="28"/>
          <w:highlight w:val="none"/>
          <w:lang w:val="en-US" w:eastAsia="zh-CN"/>
        </w:rPr>
        <w:t>100亿元；改善中低收入居民住房条件；改善城市面貌；提出具有南昌特色的土地储备战略。</w:t>
      </w:r>
    </w:p>
    <w:p>
      <w:pPr>
        <w:widowControl/>
        <w:spacing w:line="540" w:lineRule="exact"/>
        <w:ind w:firstLine="560"/>
        <w:jc w:val="left"/>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满意度指标：收储对象、土地受让人满意</w:t>
      </w:r>
      <w:r>
        <w:rPr>
          <w:rFonts w:hint="eastAsia" w:ascii="仿宋_GB2312" w:hAnsi="仿宋_GB2312" w:eastAsia="仿宋_GB2312" w:cs="仿宋_GB2312"/>
          <w:sz w:val="28"/>
          <w:szCs w:val="28"/>
          <w:highlight w:val="none"/>
          <w:lang w:eastAsia="zh-CN"/>
        </w:rPr>
        <w:t>。</w:t>
      </w:r>
    </w:p>
    <w:p>
      <w:pPr>
        <w:widowControl/>
        <w:spacing w:line="540" w:lineRule="exact"/>
        <w:ind w:firstLine="560"/>
        <w:jc w:val="left"/>
        <w:rPr>
          <w:rFonts w:hint="eastAsia" w:ascii="仿宋_GB2312" w:hAnsi="仿宋_GB2312" w:eastAsia="仿宋_GB2312" w:cs="仿宋_GB2312"/>
          <w:sz w:val="28"/>
          <w:szCs w:val="28"/>
          <w:highlight w:val="none"/>
          <w:lang w:eastAsia="zh-CN"/>
        </w:rPr>
      </w:pPr>
    </w:p>
    <w:p>
      <w:pPr>
        <w:widowControl/>
        <w:spacing w:line="540" w:lineRule="exact"/>
        <w:ind w:firstLine="56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2</w:t>
      </w:r>
      <w:r>
        <w:rPr>
          <w:rFonts w:hint="eastAsia" w:ascii="仿宋_GB2312" w:hAnsi="仿宋_GB2312" w:eastAsia="仿宋_GB2312" w:cs="仿宋_GB2312"/>
          <w:sz w:val="28"/>
          <w:szCs w:val="28"/>
          <w:highlight w:val="none"/>
        </w:rPr>
        <w:t>、</w:t>
      </w:r>
      <w:r>
        <w:rPr>
          <w:rFonts w:hint="eastAsia" w:ascii="仿宋_GB2312" w:hAnsi="仿宋_GB2312" w:eastAsia="仿宋_GB2312" w:cs="仿宋_GB2312"/>
          <w:sz w:val="28"/>
          <w:szCs w:val="28"/>
          <w:highlight w:val="none"/>
          <w:lang w:eastAsia="zh-CN"/>
        </w:rPr>
        <w:t>政府购买服务人员项目</w:t>
      </w:r>
      <w:r>
        <w:rPr>
          <w:rFonts w:hint="eastAsia" w:ascii="仿宋_GB2312" w:hAnsi="仿宋_GB2312" w:eastAsia="仿宋_GB2312" w:cs="仿宋_GB2312"/>
          <w:sz w:val="28"/>
          <w:szCs w:val="28"/>
          <w:highlight w:val="none"/>
        </w:rPr>
        <w:t>：</w:t>
      </w:r>
    </w:p>
    <w:p>
      <w:pPr>
        <w:widowControl/>
        <w:numPr>
          <w:ilvl w:val="0"/>
          <w:numId w:val="0"/>
        </w:numPr>
        <w:spacing w:line="540" w:lineRule="exact"/>
        <w:ind w:firstLine="560" w:firstLineChars="200"/>
        <w:jc w:val="left"/>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1）</w:t>
      </w:r>
      <w:r>
        <w:rPr>
          <w:rFonts w:hint="eastAsia" w:ascii="仿宋_GB2312" w:hAnsi="仿宋_GB2312" w:eastAsia="仿宋_GB2312" w:cs="仿宋_GB2312"/>
          <w:sz w:val="28"/>
          <w:szCs w:val="28"/>
          <w:highlight w:val="none"/>
        </w:rPr>
        <w:t>项目概述：</w:t>
      </w:r>
      <w:r>
        <w:rPr>
          <w:rFonts w:hint="eastAsia" w:ascii="仿宋_GB2312" w:hAnsi="仿宋_GB2312" w:eastAsia="仿宋_GB2312" w:cs="仿宋_GB2312"/>
          <w:sz w:val="28"/>
          <w:szCs w:val="28"/>
          <w:highlight w:val="none"/>
          <w:lang w:eastAsia="zh-CN"/>
        </w:rPr>
        <w:t>通过本项目的实施，弥补土储、棚改工作人员不足。</w:t>
      </w:r>
    </w:p>
    <w:p>
      <w:pPr>
        <w:widowControl/>
        <w:numPr>
          <w:ilvl w:val="0"/>
          <w:numId w:val="0"/>
        </w:numPr>
        <w:spacing w:line="540" w:lineRule="exact"/>
        <w:ind w:firstLine="560" w:firstLineChars="200"/>
        <w:jc w:val="left"/>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 xml:space="preserve">2）立项依据：2016年11月我中心通过市局将《关于市土地储备中心购买20名服务岗位的请示》（洪国土资文〔2016〕340号）上报市政府，并获批同意采取政府购买服务方式向社会购买20名服务岗位（洪府厅抄字〔2016〕719号）。2018年由于工作点多、面广、线长，同时棚改旧改日益深入，工作量大幅增加，我中心向市政府行文《南昌市土地储备中心关于购买10名服务岗位的请示》，获批通过政府购买方式增加10名工作人员（洪府厅抄字〔2018〕258号)。 </w:t>
      </w:r>
    </w:p>
    <w:p>
      <w:pPr>
        <w:widowControl/>
        <w:numPr>
          <w:ilvl w:val="0"/>
          <w:numId w:val="0"/>
        </w:numPr>
        <w:spacing w:line="540" w:lineRule="exact"/>
        <w:ind w:firstLine="560" w:firstLineChars="200"/>
        <w:jc w:val="left"/>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lang w:val="en-US" w:eastAsia="zh-CN"/>
        </w:rPr>
        <w:t>3）</w:t>
      </w:r>
      <w:r>
        <w:rPr>
          <w:rFonts w:hint="eastAsia" w:ascii="仿宋_GB2312" w:hAnsi="仿宋_GB2312" w:eastAsia="仿宋_GB2312" w:cs="仿宋_GB2312"/>
          <w:sz w:val="28"/>
          <w:szCs w:val="28"/>
          <w:highlight w:val="none"/>
        </w:rPr>
        <w:t>实施主体：</w:t>
      </w:r>
      <w:r>
        <w:rPr>
          <w:rFonts w:hint="eastAsia" w:ascii="仿宋_GB2312" w:hAnsi="仿宋_GB2312" w:eastAsia="仿宋_GB2312" w:cs="仿宋_GB2312"/>
          <w:sz w:val="28"/>
          <w:szCs w:val="28"/>
          <w:highlight w:val="none"/>
          <w:lang w:eastAsia="zh-CN"/>
        </w:rPr>
        <w:t>南昌市土地储备中心</w:t>
      </w:r>
    </w:p>
    <w:p>
      <w:pPr>
        <w:widowControl/>
        <w:numPr>
          <w:ilvl w:val="0"/>
          <w:numId w:val="0"/>
        </w:numPr>
        <w:spacing w:line="540" w:lineRule="exact"/>
        <w:ind w:firstLine="560" w:firstLineChars="200"/>
        <w:jc w:val="left"/>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4）</w:t>
      </w:r>
      <w:r>
        <w:rPr>
          <w:rFonts w:hint="eastAsia" w:ascii="仿宋_GB2312" w:hAnsi="仿宋_GB2312" w:eastAsia="仿宋_GB2312" w:cs="仿宋_GB2312"/>
          <w:sz w:val="28"/>
          <w:szCs w:val="28"/>
          <w:highlight w:val="none"/>
        </w:rPr>
        <w:t>实施周期：</w:t>
      </w:r>
      <w:r>
        <w:rPr>
          <w:rFonts w:hint="eastAsia" w:ascii="仿宋_GB2312" w:hAnsi="仿宋_GB2312" w:eastAsia="仿宋_GB2312" w:cs="仿宋_GB2312"/>
          <w:sz w:val="28"/>
          <w:szCs w:val="28"/>
          <w:highlight w:val="none"/>
          <w:lang w:val="en-US" w:eastAsia="zh-CN"/>
        </w:rPr>
        <w:t xml:space="preserve"> 2022年1月1日-2022年12月31日</w:t>
      </w:r>
    </w:p>
    <w:p>
      <w:pPr>
        <w:widowControl/>
        <w:numPr>
          <w:ilvl w:val="0"/>
          <w:numId w:val="0"/>
        </w:numPr>
        <w:spacing w:line="540" w:lineRule="exact"/>
        <w:ind w:firstLine="560" w:firstLineChars="200"/>
        <w:jc w:val="left"/>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5）</w:t>
      </w:r>
      <w:r>
        <w:rPr>
          <w:rFonts w:hint="eastAsia" w:ascii="仿宋_GB2312" w:hAnsi="仿宋_GB2312" w:eastAsia="仿宋_GB2312" w:cs="仿宋_GB2312"/>
          <w:sz w:val="28"/>
          <w:szCs w:val="28"/>
          <w:highlight w:val="none"/>
        </w:rPr>
        <w:t>年度预算安排：</w:t>
      </w:r>
      <w:r>
        <w:rPr>
          <w:rFonts w:hint="eastAsia" w:ascii="仿宋_GB2312" w:hAnsi="仿宋_GB2312" w:eastAsia="仿宋_GB2312" w:cs="仿宋_GB2312"/>
          <w:sz w:val="28"/>
          <w:szCs w:val="28"/>
          <w:highlight w:val="none"/>
          <w:lang w:val="en-US" w:eastAsia="zh-CN"/>
        </w:rPr>
        <w:t>240万元</w:t>
      </w:r>
    </w:p>
    <w:p>
      <w:pPr>
        <w:widowControl/>
        <w:numPr>
          <w:ilvl w:val="0"/>
          <w:numId w:val="0"/>
        </w:numPr>
        <w:spacing w:line="540" w:lineRule="exact"/>
        <w:ind w:firstLine="560" w:firstLineChars="20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lang w:val="en-US" w:eastAsia="zh-CN"/>
        </w:rPr>
        <w:t>6）</w:t>
      </w:r>
      <w:r>
        <w:rPr>
          <w:rFonts w:hint="eastAsia" w:ascii="仿宋_GB2312" w:hAnsi="仿宋_GB2312" w:eastAsia="仿宋_GB2312" w:cs="仿宋_GB2312"/>
          <w:sz w:val="28"/>
          <w:szCs w:val="28"/>
          <w:highlight w:val="none"/>
        </w:rPr>
        <w:t>绩效目标和指标：</w:t>
      </w:r>
    </w:p>
    <w:p>
      <w:pPr>
        <w:widowControl/>
        <w:numPr>
          <w:ilvl w:val="0"/>
          <w:numId w:val="0"/>
        </w:numPr>
        <w:spacing w:line="540" w:lineRule="exact"/>
        <w:ind w:firstLine="560" w:firstLineChars="200"/>
        <w:jc w:val="left"/>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数量指标：</w:t>
      </w:r>
      <w:r>
        <w:rPr>
          <w:rFonts w:hint="eastAsia" w:ascii="仿宋_GB2312" w:hAnsi="仿宋_GB2312" w:eastAsia="仿宋_GB2312" w:cs="仿宋_GB2312"/>
          <w:sz w:val="28"/>
          <w:szCs w:val="28"/>
          <w:highlight w:val="none"/>
          <w:lang w:val="en-US" w:eastAsia="zh-CN"/>
        </w:rPr>
        <w:t>30名政府购买服务人员到岗。</w:t>
      </w:r>
    </w:p>
    <w:p>
      <w:pPr>
        <w:widowControl/>
        <w:numPr>
          <w:ilvl w:val="0"/>
          <w:numId w:val="0"/>
        </w:numPr>
        <w:spacing w:line="540" w:lineRule="exact"/>
        <w:ind w:firstLine="560" w:firstLineChars="20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质量指标：</w:t>
      </w:r>
      <w:r>
        <w:rPr>
          <w:rFonts w:hint="eastAsia" w:ascii="仿宋_GB2312" w:hAnsi="仿宋_GB2312" w:eastAsia="仿宋_GB2312" w:cs="仿宋_GB2312"/>
          <w:sz w:val="28"/>
          <w:szCs w:val="28"/>
          <w:highlight w:val="none"/>
          <w:lang w:eastAsia="zh-CN"/>
        </w:rPr>
        <w:t>人员考核合格率</w:t>
      </w:r>
      <w:r>
        <w:rPr>
          <w:rFonts w:hint="eastAsia" w:ascii="仿宋_GB2312" w:hAnsi="仿宋_GB2312" w:eastAsia="仿宋_GB2312" w:cs="仿宋_GB2312"/>
          <w:sz w:val="28"/>
          <w:szCs w:val="28"/>
          <w:highlight w:val="none"/>
          <w:lang w:val="en-US" w:eastAsia="zh-CN"/>
        </w:rPr>
        <w:t>100%</w:t>
      </w:r>
      <w:r>
        <w:rPr>
          <w:rFonts w:hint="eastAsia" w:ascii="仿宋_GB2312" w:hAnsi="仿宋_GB2312" w:eastAsia="仿宋_GB2312" w:cs="仿宋_GB2312"/>
          <w:sz w:val="28"/>
          <w:szCs w:val="28"/>
          <w:highlight w:val="none"/>
          <w:lang w:eastAsia="zh-CN"/>
        </w:rPr>
        <w:t>。</w:t>
      </w:r>
    </w:p>
    <w:p>
      <w:pPr>
        <w:widowControl/>
        <w:numPr>
          <w:ilvl w:val="0"/>
          <w:numId w:val="0"/>
        </w:numPr>
        <w:spacing w:line="540" w:lineRule="exact"/>
        <w:ind w:firstLine="560" w:firstLineChars="200"/>
        <w:jc w:val="left"/>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时效指标：</w:t>
      </w:r>
      <w:r>
        <w:rPr>
          <w:rFonts w:hint="eastAsia" w:ascii="仿宋_GB2312" w:hAnsi="仿宋_GB2312" w:eastAsia="仿宋_GB2312" w:cs="仿宋_GB2312"/>
          <w:sz w:val="28"/>
          <w:szCs w:val="28"/>
          <w:highlight w:val="none"/>
          <w:lang w:eastAsia="zh-CN"/>
        </w:rPr>
        <w:t>人员经费发放及时率</w:t>
      </w:r>
      <w:r>
        <w:rPr>
          <w:rFonts w:hint="eastAsia" w:ascii="仿宋_GB2312" w:hAnsi="仿宋_GB2312" w:eastAsia="仿宋_GB2312" w:cs="仿宋_GB2312"/>
          <w:sz w:val="28"/>
          <w:szCs w:val="28"/>
          <w:highlight w:val="none"/>
          <w:lang w:val="en-US" w:eastAsia="zh-CN"/>
        </w:rPr>
        <w:t>100%</w:t>
      </w:r>
      <w:r>
        <w:rPr>
          <w:rFonts w:hint="eastAsia" w:ascii="仿宋_GB2312" w:hAnsi="仿宋_GB2312" w:eastAsia="仿宋_GB2312" w:cs="仿宋_GB2312"/>
          <w:sz w:val="28"/>
          <w:szCs w:val="28"/>
          <w:highlight w:val="none"/>
          <w:lang w:eastAsia="zh-CN"/>
        </w:rPr>
        <w:t>。</w:t>
      </w:r>
    </w:p>
    <w:p>
      <w:pPr>
        <w:widowControl/>
        <w:spacing w:line="540" w:lineRule="exact"/>
        <w:ind w:firstLine="560"/>
        <w:jc w:val="left"/>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成本指标：</w:t>
      </w:r>
      <w:r>
        <w:rPr>
          <w:rFonts w:hint="eastAsia" w:ascii="仿宋_GB2312" w:hAnsi="仿宋_GB2312" w:eastAsia="仿宋_GB2312" w:cs="仿宋_GB2312"/>
          <w:sz w:val="28"/>
          <w:szCs w:val="28"/>
          <w:highlight w:val="none"/>
          <w:lang w:eastAsia="zh-CN"/>
        </w:rPr>
        <w:t>成本支付率</w:t>
      </w:r>
      <w:r>
        <w:rPr>
          <w:rFonts w:hint="eastAsia" w:ascii="仿宋_GB2312" w:hAnsi="仿宋_GB2312" w:eastAsia="仿宋_GB2312" w:cs="仿宋_GB2312"/>
          <w:sz w:val="28"/>
          <w:szCs w:val="28"/>
          <w:highlight w:val="none"/>
          <w:lang w:val="en-US" w:eastAsia="zh-CN"/>
        </w:rPr>
        <w:t>100%。</w:t>
      </w:r>
    </w:p>
    <w:p>
      <w:pPr>
        <w:widowControl/>
        <w:numPr>
          <w:ilvl w:val="0"/>
          <w:numId w:val="0"/>
        </w:numPr>
        <w:spacing w:line="540" w:lineRule="exact"/>
        <w:ind w:firstLine="560" w:firstLineChars="200"/>
        <w:jc w:val="left"/>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社会效益指标：</w:t>
      </w:r>
      <w:r>
        <w:rPr>
          <w:rFonts w:hint="eastAsia" w:ascii="仿宋_GB2312" w:hAnsi="仿宋_GB2312" w:eastAsia="仿宋_GB2312" w:cs="仿宋_GB2312"/>
          <w:sz w:val="28"/>
          <w:szCs w:val="28"/>
          <w:highlight w:val="none"/>
          <w:lang w:eastAsia="zh-CN"/>
        </w:rPr>
        <w:t>工作任务完成效率</w:t>
      </w:r>
      <w:r>
        <w:rPr>
          <w:rFonts w:hint="eastAsia" w:ascii="仿宋_GB2312" w:hAnsi="仿宋_GB2312" w:eastAsia="仿宋_GB2312" w:cs="仿宋_GB2312"/>
          <w:sz w:val="28"/>
          <w:szCs w:val="28"/>
          <w:highlight w:val="none"/>
          <w:lang w:val="en-US" w:eastAsia="zh-CN"/>
        </w:rPr>
        <w:t>100%</w:t>
      </w:r>
      <w:r>
        <w:rPr>
          <w:rFonts w:hint="eastAsia" w:ascii="仿宋_GB2312" w:hAnsi="仿宋_GB2312" w:eastAsia="仿宋_GB2312" w:cs="仿宋_GB2312"/>
          <w:sz w:val="28"/>
          <w:szCs w:val="28"/>
          <w:highlight w:val="none"/>
          <w:lang w:eastAsia="zh-CN"/>
        </w:rPr>
        <w:t>；人员队伍长期稳定</w:t>
      </w:r>
      <w:r>
        <w:rPr>
          <w:rFonts w:hint="eastAsia" w:ascii="仿宋_GB2312" w:hAnsi="仿宋_GB2312" w:eastAsia="仿宋_GB2312" w:cs="仿宋_GB2312"/>
          <w:sz w:val="28"/>
          <w:szCs w:val="28"/>
          <w:highlight w:val="none"/>
          <w:lang w:val="en-US" w:eastAsia="zh-CN"/>
        </w:rPr>
        <w:t>。</w:t>
      </w:r>
    </w:p>
    <w:p>
      <w:pPr>
        <w:widowControl/>
        <w:numPr>
          <w:ilvl w:val="0"/>
          <w:numId w:val="0"/>
        </w:numPr>
        <w:spacing w:line="540" w:lineRule="exact"/>
        <w:ind w:firstLine="560" w:firstLineChars="200"/>
        <w:jc w:val="left"/>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sz w:val="28"/>
          <w:szCs w:val="28"/>
          <w:highlight w:val="none"/>
        </w:rPr>
        <w:t>满意度指标：</w:t>
      </w:r>
      <w:r>
        <w:rPr>
          <w:rFonts w:hint="eastAsia" w:ascii="仿宋_GB2312" w:hAnsi="仿宋_GB2312" w:eastAsia="仿宋_GB2312" w:cs="仿宋_GB2312"/>
          <w:sz w:val="28"/>
          <w:szCs w:val="28"/>
          <w:highlight w:val="none"/>
          <w:lang w:eastAsia="zh-CN"/>
        </w:rPr>
        <w:t>社会群众满意。</w:t>
      </w:r>
    </w:p>
    <w:p>
      <w:pPr>
        <w:widowControl/>
        <w:numPr>
          <w:ilvl w:val="0"/>
          <w:numId w:val="0"/>
        </w:numPr>
        <w:spacing w:line="540" w:lineRule="exact"/>
        <w:ind w:firstLine="560" w:firstLineChars="200"/>
        <w:jc w:val="left"/>
        <w:rPr>
          <w:rFonts w:hint="eastAsia" w:ascii="仿宋_GB2312" w:hAnsi="仿宋_GB2312" w:eastAsia="仿宋_GB2312" w:cs="仿宋_GB2312"/>
          <w:sz w:val="28"/>
          <w:szCs w:val="28"/>
          <w:highlight w:val="none"/>
          <w:lang w:eastAsia="zh-CN"/>
        </w:rPr>
      </w:pPr>
    </w:p>
    <w:p>
      <w:pPr>
        <w:widowControl/>
        <w:spacing w:line="540" w:lineRule="exact"/>
        <w:ind w:firstLine="560" w:firstLineChars="200"/>
        <w:jc w:val="left"/>
        <w:rPr>
          <w:rFonts w:hint="eastAsia" w:ascii="黑体" w:eastAsia="黑体"/>
          <w:sz w:val="28"/>
          <w:szCs w:val="28"/>
          <w:highlight w:val="none"/>
        </w:rPr>
      </w:pPr>
      <w:r>
        <w:rPr>
          <w:rFonts w:hint="eastAsia" w:ascii="黑体" w:eastAsia="黑体"/>
          <w:sz w:val="28"/>
          <w:szCs w:val="28"/>
          <w:highlight w:val="none"/>
        </w:rPr>
        <w:t>二、“三公”经费预算情况说明</w:t>
      </w:r>
    </w:p>
    <w:p>
      <w:pPr>
        <w:widowControl/>
        <w:spacing w:line="540" w:lineRule="exact"/>
        <w:ind w:firstLine="560" w:firstLineChars="200"/>
        <w:jc w:val="left"/>
        <w:rPr>
          <w:rFonts w:hint="eastAsia" w:ascii="仿宋_GB2312" w:eastAsia="仿宋_GB2312"/>
          <w:sz w:val="28"/>
          <w:szCs w:val="28"/>
          <w:highlight w:val="none"/>
        </w:rPr>
      </w:pPr>
      <w:r>
        <w:rPr>
          <w:rFonts w:hint="eastAsia" w:ascii="仿宋_GB2312" w:eastAsia="仿宋_GB2312"/>
          <w:sz w:val="28"/>
          <w:szCs w:val="28"/>
          <w:highlight w:val="none"/>
        </w:rPr>
        <w:t>202</w:t>
      </w:r>
      <w:r>
        <w:rPr>
          <w:rFonts w:hint="eastAsia" w:ascii="仿宋_GB2312" w:eastAsia="仿宋_GB2312"/>
          <w:sz w:val="28"/>
          <w:szCs w:val="28"/>
          <w:highlight w:val="none"/>
          <w:lang w:val="en-US" w:eastAsia="zh-CN"/>
        </w:rPr>
        <w:t>2</w:t>
      </w:r>
      <w:r>
        <w:rPr>
          <w:rFonts w:hint="eastAsia" w:ascii="仿宋_GB2312" w:eastAsia="仿宋_GB2312"/>
          <w:sz w:val="28"/>
          <w:szCs w:val="28"/>
          <w:highlight w:val="none"/>
        </w:rPr>
        <w:t>年本部门“三公”经费年初预算安排</w:t>
      </w:r>
      <w:r>
        <w:rPr>
          <w:rFonts w:hint="eastAsia" w:ascii="仿宋_GB2312" w:eastAsia="仿宋_GB2312"/>
          <w:sz w:val="28"/>
          <w:szCs w:val="28"/>
          <w:highlight w:val="none"/>
          <w:lang w:val="en-US" w:eastAsia="zh-CN"/>
        </w:rPr>
        <w:t>7.14</w:t>
      </w:r>
      <w:r>
        <w:rPr>
          <w:rFonts w:hint="eastAsia" w:ascii="仿宋_GB2312" w:eastAsia="仿宋_GB2312"/>
          <w:sz w:val="28"/>
          <w:szCs w:val="28"/>
          <w:highlight w:val="none"/>
        </w:rPr>
        <w:t>万元。其中:</w:t>
      </w:r>
    </w:p>
    <w:p>
      <w:pPr>
        <w:numPr>
          <w:ilvl w:val="0"/>
          <w:numId w:val="0"/>
        </w:numPr>
        <w:spacing w:line="540" w:lineRule="exact"/>
        <w:ind w:firstLine="560" w:firstLineChars="200"/>
        <w:rPr>
          <w:rFonts w:hint="eastAsia" w:ascii="仿宋_GB2312" w:hAnsi="Times New Roman" w:eastAsia="仿宋_GB2312" w:cs="Times New Roman"/>
          <w:sz w:val="28"/>
          <w:szCs w:val="28"/>
          <w:highlight w:val="none"/>
        </w:rPr>
      </w:pPr>
      <w:r>
        <w:rPr>
          <w:rFonts w:hint="eastAsia" w:ascii="仿宋_GB2312" w:eastAsia="仿宋_GB2312"/>
          <w:sz w:val="28"/>
          <w:szCs w:val="28"/>
          <w:highlight w:val="none"/>
        </w:rPr>
        <w:t>1．因公出国（境）经费</w:t>
      </w:r>
      <w:r>
        <w:rPr>
          <w:rFonts w:hint="eastAsia" w:ascii="仿宋_GB2312" w:eastAsia="仿宋_GB2312"/>
          <w:sz w:val="28"/>
          <w:szCs w:val="28"/>
          <w:highlight w:val="none"/>
          <w:lang w:val="en-US" w:eastAsia="zh-CN"/>
        </w:rPr>
        <w:t>0</w:t>
      </w:r>
      <w:r>
        <w:rPr>
          <w:rFonts w:hint="eastAsia" w:ascii="仿宋_GB2312" w:eastAsia="仿宋_GB2312"/>
          <w:sz w:val="28"/>
          <w:szCs w:val="28"/>
          <w:highlight w:val="none"/>
        </w:rPr>
        <w:t>万元</w:t>
      </w:r>
      <w:r>
        <w:rPr>
          <w:rFonts w:hint="eastAsia" w:ascii="仿宋_GB2312" w:hAnsi="Times New Roman" w:eastAsia="仿宋_GB2312" w:cs="Times New Roman"/>
          <w:sz w:val="28"/>
          <w:szCs w:val="28"/>
          <w:highlight w:val="none"/>
        </w:rPr>
        <w:t>，</w:t>
      </w:r>
      <w:r>
        <w:rPr>
          <w:rFonts w:hint="eastAsia" w:ascii="仿宋_GB2312" w:hAnsi="Times New Roman" w:eastAsia="仿宋_GB2312" w:cs="Times New Roman"/>
          <w:sz w:val="28"/>
          <w:szCs w:val="28"/>
          <w:highlight w:val="none"/>
          <w:lang w:eastAsia="zh-CN"/>
        </w:rPr>
        <w:t>与上年一致，无因公出国计划。</w:t>
      </w:r>
    </w:p>
    <w:p>
      <w:pPr>
        <w:spacing w:line="54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2．公务接待费</w:t>
      </w:r>
      <w:r>
        <w:rPr>
          <w:rFonts w:hint="eastAsia" w:ascii="仿宋_GB2312" w:eastAsia="仿宋_GB2312"/>
          <w:sz w:val="28"/>
          <w:szCs w:val="28"/>
          <w:highlight w:val="none"/>
          <w:lang w:val="en-US" w:eastAsia="zh-CN"/>
        </w:rPr>
        <w:t>7.14</w:t>
      </w:r>
      <w:r>
        <w:rPr>
          <w:rFonts w:hint="eastAsia" w:ascii="仿宋_GB2312" w:eastAsia="仿宋_GB2312"/>
          <w:sz w:val="28"/>
          <w:szCs w:val="28"/>
          <w:highlight w:val="none"/>
        </w:rPr>
        <w:t>万元，比上年减少</w:t>
      </w:r>
      <w:r>
        <w:rPr>
          <w:rFonts w:hint="eastAsia" w:ascii="仿宋_GB2312" w:eastAsia="仿宋_GB2312"/>
          <w:sz w:val="28"/>
          <w:szCs w:val="28"/>
          <w:highlight w:val="none"/>
          <w:lang w:val="en-US" w:eastAsia="zh-CN"/>
        </w:rPr>
        <w:t>2.56</w:t>
      </w:r>
      <w:r>
        <w:rPr>
          <w:rFonts w:hint="eastAsia" w:ascii="仿宋_GB2312" w:eastAsia="仿宋_GB2312"/>
          <w:sz w:val="28"/>
          <w:szCs w:val="28"/>
          <w:highlight w:val="none"/>
        </w:rPr>
        <w:t>万元。减少的原因主要是</w:t>
      </w:r>
      <w:r>
        <w:rPr>
          <w:rFonts w:hint="eastAsia" w:ascii="仿宋_GB2312" w:eastAsia="仿宋_GB2312"/>
          <w:sz w:val="28"/>
          <w:szCs w:val="28"/>
          <w:highlight w:val="none"/>
          <w:lang w:eastAsia="zh-CN"/>
        </w:rPr>
        <w:t>实际发生的公务接待费用减少</w:t>
      </w:r>
      <w:r>
        <w:rPr>
          <w:rFonts w:hint="eastAsia" w:ascii="仿宋_GB2312" w:eastAsia="仿宋_GB2312"/>
          <w:sz w:val="28"/>
          <w:szCs w:val="28"/>
          <w:highlight w:val="none"/>
        </w:rPr>
        <w:t>。</w:t>
      </w:r>
    </w:p>
    <w:p>
      <w:pPr>
        <w:numPr>
          <w:ilvl w:val="0"/>
          <w:numId w:val="0"/>
        </w:numPr>
        <w:spacing w:line="54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3．公务用车运行维护费</w:t>
      </w:r>
      <w:r>
        <w:rPr>
          <w:rFonts w:hint="eastAsia" w:ascii="仿宋_GB2312" w:eastAsia="仿宋_GB2312"/>
          <w:sz w:val="28"/>
          <w:szCs w:val="28"/>
          <w:highlight w:val="none"/>
          <w:lang w:val="en-US" w:eastAsia="zh-CN"/>
        </w:rPr>
        <w:t>0</w:t>
      </w:r>
      <w:r>
        <w:rPr>
          <w:rFonts w:hint="eastAsia" w:ascii="仿宋_GB2312" w:eastAsia="仿宋_GB2312"/>
          <w:sz w:val="28"/>
          <w:szCs w:val="28"/>
          <w:highlight w:val="none"/>
        </w:rPr>
        <w:t>万元，</w:t>
      </w:r>
      <w:r>
        <w:rPr>
          <w:rFonts w:hint="eastAsia" w:ascii="仿宋_GB2312" w:eastAsia="仿宋_GB2312"/>
          <w:sz w:val="28"/>
          <w:szCs w:val="28"/>
          <w:highlight w:val="none"/>
          <w:lang w:eastAsia="zh-CN"/>
        </w:rPr>
        <w:t>与上年一致，无公务用车。</w:t>
      </w:r>
    </w:p>
    <w:p>
      <w:pPr>
        <w:numPr>
          <w:ilvl w:val="0"/>
          <w:numId w:val="0"/>
        </w:numPr>
        <w:spacing w:line="54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公务用车购置费</w:t>
      </w:r>
      <w:r>
        <w:rPr>
          <w:rFonts w:hint="eastAsia" w:ascii="仿宋_GB2312" w:eastAsia="仿宋_GB2312"/>
          <w:sz w:val="28"/>
          <w:szCs w:val="28"/>
          <w:highlight w:val="none"/>
          <w:lang w:val="en-US" w:eastAsia="zh-CN"/>
        </w:rPr>
        <w:t>0</w:t>
      </w:r>
      <w:r>
        <w:rPr>
          <w:rFonts w:hint="eastAsia" w:ascii="仿宋_GB2312" w:eastAsia="仿宋_GB2312"/>
          <w:sz w:val="28"/>
          <w:szCs w:val="28"/>
          <w:highlight w:val="none"/>
        </w:rPr>
        <w:t>万元，</w:t>
      </w:r>
      <w:r>
        <w:rPr>
          <w:rFonts w:hint="eastAsia" w:ascii="仿宋_GB2312" w:eastAsia="仿宋_GB2312"/>
          <w:sz w:val="28"/>
          <w:szCs w:val="28"/>
          <w:highlight w:val="none"/>
          <w:lang w:eastAsia="zh-CN"/>
        </w:rPr>
        <w:t>与上年一致，无公车购置计划。</w:t>
      </w:r>
    </w:p>
    <w:p/>
    <w:p>
      <w:pPr>
        <w:spacing w:line="540" w:lineRule="exact"/>
        <w:jc w:val="center"/>
        <w:rPr>
          <w:rFonts w:hint="eastAsia" w:ascii="方正小标宋简体" w:eastAsia="方正小标宋简体"/>
          <w:sz w:val="28"/>
          <w:szCs w:val="28"/>
        </w:rPr>
      </w:pPr>
      <w:r>
        <w:rPr>
          <w:rFonts w:hint="eastAsia" w:ascii="方正小标宋简体" w:eastAsia="方正小标宋简体"/>
          <w:sz w:val="28"/>
          <w:szCs w:val="28"/>
        </w:rPr>
        <w:t>第四部分  名词解释</w:t>
      </w:r>
    </w:p>
    <w:p>
      <w:pPr>
        <w:spacing w:line="540" w:lineRule="exact"/>
        <w:jc w:val="center"/>
        <w:rPr>
          <w:rFonts w:hint="eastAsia" w:ascii="方正小标宋简体" w:eastAsia="方正小标宋简体"/>
          <w:sz w:val="28"/>
          <w:szCs w:val="28"/>
        </w:rPr>
      </w:pPr>
    </w:p>
    <w:p>
      <w:pPr>
        <w:widowControl/>
        <w:spacing w:line="540" w:lineRule="exact"/>
        <w:ind w:firstLine="560" w:firstLineChars="200"/>
        <w:jc w:val="left"/>
        <w:rPr>
          <w:rFonts w:hint="eastAsia" w:ascii="黑体" w:eastAsia="黑体"/>
          <w:sz w:val="28"/>
          <w:szCs w:val="28"/>
        </w:rPr>
      </w:pPr>
      <w:r>
        <w:rPr>
          <w:rFonts w:hint="eastAsia" w:ascii="黑体" w:eastAsia="黑体"/>
          <w:sz w:val="28"/>
          <w:szCs w:val="28"/>
        </w:rPr>
        <w:t>一、收入科目</w:t>
      </w:r>
    </w:p>
    <w:p>
      <w:pPr>
        <w:widowControl/>
        <w:spacing w:line="52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b w:val="0"/>
          <w:bCs w:val="0"/>
          <w:sz w:val="28"/>
          <w:szCs w:val="28"/>
          <w:highlight w:val="none"/>
          <w:lang w:val="en-US" w:eastAsia="zh-CN"/>
        </w:rPr>
        <w:t>(一)</w:t>
      </w:r>
      <w:r>
        <w:rPr>
          <w:rFonts w:hint="eastAsia" w:ascii="仿宋_GB2312" w:hAnsi="仿宋_GB2312" w:eastAsia="仿宋_GB2312" w:cs="仿宋_GB2312"/>
          <w:sz w:val="28"/>
          <w:szCs w:val="28"/>
          <w:highlight w:val="none"/>
        </w:rPr>
        <w:t>财政拨款：指</w:t>
      </w:r>
      <w:r>
        <w:rPr>
          <w:rFonts w:hint="eastAsia" w:ascii="仿宋_GB2312" w:hAnsi="仿宋_GB2312" w:eastAsia="仿宋_GB2312" w:cs="仿宋_GB2312"/>
          <w:sz w:val="28"/>
          <w:szCs w:val="28"/>
          <w:highlight w:val="none"/>
          <w:lang w:eastAsia="zh-CN"/>
        </w:rPr>
        <w:t>市</w:t>
      </w:r>
      <w:r>
        <w:rPr>
          <w:rFonts w:hint="eastAsia" w:ascii="仿宋_GB2312" w:hAnsi="仿宋_GB2312" w:eastAsia="仿宋_GB2312" w:cs="仿宋_GB2312"/>
          <w:sz w:val="28"/>
          <w:szCs w:val="28"/>
          <w:highlight w:val="none"/>
        </w:rPr>
        <w:t>级财政当年拨付的资金。</w:t>
      </w:r>
    </w:p>
    <w:p>
      <w:pPr>
        <w:widowControl/>
        <w:spacing w:line="520" w:lineRule="exact"/>
        <w:ind w:firstLine="560" w:firstLineChars="200"/>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(二)</w:t>
      </w:r>
      <w:r>
        <w:rPr>
          <w:rFonts w:hint="eastAsia" w:ascii="仿宋_GB2312" w:hAnsi="仿宋_GB2312" w:eastAsia="仿宋_GB2312" w:cs="仿宋_GB2312"/>
          <w:b w:val="0"/>
          <w:bCs w:val="0"/>
          <w:sz w:val="28"/>
          <w:szCs w:val="28"/>
          <w:highlight w:val="none"/>
          <w:lang w:val="en-US" w:eastAsia="zh-CN"/>
        </w:rPr>
        <w:t>教育收费资金收入：</w:t>
      </w:r>
      <w:r>
        <w:rPr>
          <w:rFonts w:hint="eastAsia" w:ascii="仿宋_GB2312" w:hAnsi="仿宋_GB2312" w:eastAsia="仿宋_GB2312" w:cs="仿宋_GB2312"/>
          <w:color w:val="000000"/>
          <w:sz w:val="28"/>
          <w:szCs w:val="28"/>
          <w:lang w:val="en-US" w:eastAsia="zh-CN"/>
        </w:rPr>
        <w:t>反映实行专项管理的高中以上学费、住宿费，高校委托培养费，函大、电大、夜大及短训班培训费等教育收费取得的收入。</w:t>
      </w:r>
    </w:p>
    <w:p>
      <w:pPr>
        <w:widowControl/>
        <w:spacing w:line="600" w:lineRule="exact"/>
        <w:ind w:firstLine="636" w:firstLineChars="0"/>
        <w:jc w:val="left"/>
        <w:rPr>
          <w:rFonts w:hint="eastAsia" w:ascii="仿宋_GB2312" w:hAnsi="仿宋_GB2312" w:eastAsia="仿宋_GB2312" w:cs="仿宋_GB2312"/>
          <w:spacing w:val="0"/>
          <w:sz w:val="28"/>
          <w:szCs w:val="28"/>
          <w:highlight w:val="none"/>
        </w:rPr>
      </w:pPr>
      <w:r>
        <w:rPr>
          <w:rFonts w:hint="eastAsia" w:ascii="仿宋_GB2312" w:hAnsi="仿宋_GB2312" w:eastAsia="仿宋_GB2312" w:cs="仿宋_GB2312"/>
          <w:b w:val="0"/>
          <w:bCs w:val="0"/>
          <w:sz w:val="28"/>
          <w:szCs w:val="28"/>
          <w:highlight w:val="none"/>
          <w:lang w:val="en-US" w:eastAsia="zh-CN"/>
        </w:rPr>
        <w:t>(三)</w:t>
      </w:r>
      <w:r>
        <w:rPr>
          <w:rFonts w:hint="eastAsia" w:ascii="仿宋_GB2312" w:hAnsi="仿宋_GB2312" w:eastAsia="仿宋_GB2312" w:cs="仿宋_GB2312"/>
          <w:spacing w:val="0"/>
          <w:sz w:val="28"/>
          <w:szCs w:val="28"/>
          <w:highlight w:val="none"/>
        </w:rPr>
        <w:t>事业收入：</w:t>
      </w:r>
      <w:r>
        <w:rPr>
          <w:rFonts w:hint="eastAsia" w:ascii="仿宋_GB2312" w:hAnsi="仿宋_GB2312" w:eastAsia="仿宋_GB2312" w:cs="仿宋_GB2312"/>
          <w:color w:val="000000"/>
          <w:sz w:val="28"/>
          <w:szCs w:val="28"/>
        </w:rPr>
        <w:t>指事业单位开展专业业务活动及辅助活动取得的收入。</w:t>
      </w:r>
    </w:p>
    <w:p>
      <w:pPr>
        <w:widowControl/>
        <w:spacing w:line="52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b w:val="0"/>
          <w:bCs w:val="0"/>
          <w:sz w:val="28"/>
          <w:szCs w:val="28"/>
          <w:highlight w:val="none"/>
          <w:lang w:val="en-US" w:eastAsia="zh-CN"/>
        </w:rPr>
        <w:t>(四)</w:t>
      </w:r>
      <w:r>
        <w:rPr>
          <w:rFonts w:hint="eastAsia" w:ascii="仿宋_GB2312" w:hAnsi="仿宋_GB2312" w:eastAsia="仿宋_GB2312" w:cs="仿宋_GB2312"/>
          <w:sz w:val="28"/>
          <w:szCs w:val="28"/>
          <w:highlight w:val="none"/>
        </w:rPr>
        <w:t>事业单位经营收入：</w:t>
      </w:r>
      <w:r>
        <w:rPr>
          <w:rFonts w:hint="eastAsia" w:ascii="仿宋_GB2312" w:hAnsi="仿宋_GB2312" w:eastAsia="仿宋_GB2312" w:cs="仿宋_GB2312"/>
          <w:color w:val="000000"/>
          <w:sz w:val="28"/>
          <w:szCs w:val="28"/>
        </w:rPr>
        <w:t>指事业单位在专业业务活动及辅助活动之外开展非独立核算经营活动取得的收入。</w:t>
      </w:r>
    </w:p>
    <w:p>
      <w:pPr>
        <w:widowControl/>
        <w:spacing w:line="600" w:lineRule="exact"/>
        <w:ind w:firstLine="560" w:firstLineChars="200"/>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(五)</w:t>
      </w:r>
      <w:r>
        <w:rPr>
          <w:rFonts w:hint="eastAsia" w:ascii="仿宋_GB2312" w:hAnsi="仿宋_GB2312" w:eastAsia="仿宋_GB2312" w:cs="仿宋_GB2312"/>
          <w:sz w:val="28"/>
          <w:szCs w:val="28"/>
          <w:highlight w:val="none"/>
        </w:rPr>
        <w:t>附属单位上缴收入：</w:t>
      </w:r>
      <w:r>
        <w:rPr>
          <w:rFonts w:hint="eastAsia" w:ascii="仿宋_GB2312" w:hAnsi="仿宋_GB2312" w:eastAsia="仿宋_GB2312" w:cs="仿宋_GB2312"/>
          <w:color w:val="000000"/>
          <w:sz w:val="28"/>
          <w:szCs w:val="28"/>
        </w:rPr>
        <w:t>反映事业单位附属的独立核算单位按规定标准或比例缴纳的各项收入。包括附属的事业单位上缴的收入和附属的企业上缴的利润等。</w:t>
      </w:r>
    </w:p>
    <w:p>
      <w:pPr>
        <w:widowControl/>
        <w:spacing w:line="520" w:lineRule="exact"/>
        <w:ind w:firstLine="560" w:firstLineChars="200"/>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(六)</w:t>
      </w:r>
      <w:r>
        <w:rPr>
          <w:rFonts w:hint="eastAsia" w:ascii="仿宋_GB2312" w:hAnsi="仿宋_GB2312" w:eastAsia="仿宋_GB2312" w:cs="仿宋_GB2312"/>
          <w:sz w:val="28"/>
          <w:szCs w:val="28"/>
          <w:highlight w:val="none"/>
        </w:rPr>
        <w:t>上级补助收入：</w:t>
      </w:r>
      <w:r>
        <w:rPr>
          <w:rFonts w:hint="eastAsia" w:ascii="仿宋_GB2312" w:hAnsi="仿宋_GB2312" w:eastAsia="仿宋_GB2312" w:cs="仿宋_GB2312"/>
          <w:color w:val="000000"/>
          <w:sz w:val="28"/>
          <w:szCs w:val="28"/>
        </w:rPr>
        <w:t>反映事业单位从主管部门和上级单位取得的非财政补助收入。</w:t>
      </w:r>
    </w:p>
    <w:p>
      <w:pPr>
        <w:widowControl/>
        <w:spacing w:line="520" w:lineRule="exact"/>
        <w:ind w:firstLine="560" w:firstLineChars="200"/>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(七)</w:t>
      </w:r>
      <w:r>
        <w:rPr>
          <w:rFonts w:hint="eastAsia" w:ascii="仿宋_GB2312" w:hAnsi="仿宋_GB2312" w:eastAsia="仿宋_GB2312" w:cs="仿宋_GB2312"/>
          <w:sz w:val="28"/>
          <w:szCs w:val="28"/>
          <w:highlight w:val="none"/>
        </w:rPr>
        <w:t>其他收入：</w:t>
      </w:r>
      <w:r>
        <w:rPr>
          <w:rFonts w:hint="eastAsia" w:ascii="仿宋_GB2312" w:hAnsi="仿宋_GB2312" w:eastAsia="仿宋_GB2312" w:cs="仿宋_GB2312"/>
          <w:color w:val="000000"/>
          <w:sz w:val="28"/>
          <w:szCs w:val="28"/>
        </w:rPr>
        <w:t>指除财政拨款、事业收入、事业单位经营收入等以外的各项收入。</w:t>
      </w:r>
    </w:p>
    <w:p>
      <w:pPr>
        <w:widowControl/>
        <w:spacing w:line="520" w:lineRule="exact"/>
        <w:ind w:firstLine="560" w:firstLineChars="200"/>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(八)</w:t>
      </w:r>
      <w:r>
        <w:rPr>
          <w:rFonts w:hint="eastAsia" w:ascii="仿宋_GB2312" w:hAnsi="仿宋_GB2312" w:eastAsia="仿宋_GB2312" w:cs="仿宋_GB2312"/>
          <w:sz w:val="28"/>
          <w:szCs w:val="28"/>
          <w:highlight w:val="none"/>
          <w:lang w:val="en-US" w:eastAsia="zh-CN"/>
        </w:rPr>
        <w:t>使用非财政拨款结余：</w:t>
      </w:r>
      <w:r>
        <w:rPr>
          <w:rFonts w:hint="eastAsia" w:ascii="仿宋_GB2312" w:hAnsi="仿宋_GB2312" w:eastAsia="仿宋_GB2312" w:cs="仿宋_GB2312"/>
          <w:color w:val="000000"/>
          <w:sz w:val="28"/>
          <w:szCs w:val="28"/>
        </w:rPr>
        <w:t>填列</w:t>
      </w:r>
      <w:r>
        <w:rPr>
          <w:rFonts w:hint="eastAsia" w:ascii="仿宋_GB2312" w:hAnsi="仿宋_GB2312" w:eastAsia="仿宋_GB2312" w:cs="仿宋_GB2312"/>
          <w:color w:val="000000"/>
          <w:sz w:val="28"/>
          <w:szCs w:val="28"/>
          <w:lang w:eastAsia="zh-CN"/>
        </w:rPr>
        <w:t>历年滚存的非限定用途的非统计财政拨款结余</w:t>
      </w:r>
      <w:r>
        <w:rPr>
          <w:rFonts w:hint="eastAsia" w:ascii="仿宋_GB2312" w:hAnsi="仿宋_GB2312" w:eastAsia="仿宋_GB2312" w:cs="仿宋_GB2312"/>
          <w:color w:val="000000"/>
          <w:sz w:val="28"/>
          <w:szCs w:val="28"/>
        </w:rPr>
        <w:t>弥补202</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年收支差额的数额。</w:t>
      </w:r>
    </w:p>
    <w:p>
      <w:pPr>
        <w:widowControl/>
        <w:spacing w:line="600" w:lineRule="exact"/>
        <w:ind w:firstLine="560" w:firstLineChars="200"/>
        <w:rPr>
          <w:rFonts w:hint="eastAsia" w:ascii="仿宋_GB2312" w:hAnsi="Times New Roman" w:eastAsia="仿宋_GB2312" w:cs="Times New Roman"/>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(九)</w:t>
      </w:r>
      <w:r>
        <w:rPr>
          <w:rFonts w:hint="eastAsia" w:ascii="仿宋_GB2312" w:hAnsi="仿宋_GB2312" w:eastAsia="仿宋_GB2312" w:cs="仿宋_GB2312"/>
          <w:sz w:val="28"/>
          <w:szCs w:val="28"/>
          <w:highlight w:val="none"/>
          <w:lang w:val="en-US" w:eastAsia="zh-CN"/>
        </w:rPr>
        <w:t>上年结转结余：</w:t>
      </w:r>
      <w:r>
        <w:rPr>
          <w:rFonts w:hint="eastAsia" w:ascii="仿宋_GB2312" w:hAnsi="仿宋_GB2312" w:eastAsia="仿宋_GB2312" w:cs="仿宋_GB2312"/>
          <w:color w:val="000000"/>
          <w:sz w:val="28"/>
          <w:szCs w:val="28"/>
        </w:rPr>
        <w:t>填列20</w:t>
      </w:r>
      <w:r>
        <w:rPr>
          <w:rFonts w:hint="eastAsia" w:ascii="仿宋_GB2312" w:hAnsi="仿宋_GB2312" w:eastAsia="仿宋_GB2312" w:cs="仿宋_GB2312"/>
          <w:color w:val="000000"/>
          <w:sz w:val="28"/>
          <w:szCs w:val="28"/>
          <w:lang w:val="en-US" w:eastAsia="zh-CN"/>
        </w:rPr>
        <w:t>21</w:t>
      </w:r>
      <w:r>
        <w:rPr>
          <w:rFonts w:hint="eastAsia" w:ascii="仿宋_GB2312" w:hAnsi="仿宋_GB2312" w:eastAsia="仿宋_GB2312" w:cs="仿宋_GB2312"/>
          <w:color w:val="000000"/>
          <w:sz w:val="28"/>
          <w:szCs w:val="28"/>
        </w:rPr>
        <w:t>年全部结转和结余的资金数，包括当年结转结余资金和历年滚存结转结余资金。</w:t>
      </w:r>
    </w:p>
    <w:p>
      <w:pPr>
        <w:widowControl/>
        <w:spacing w:line="540" w:lineRule="exact"/>
        <w:ind w:firstLine="560" w:firstLineChars="200"/>
        <w:jc w:val="left"/>
        <w:rPr>
          <w:rFonts w:hint="eastAsia" w:ascii="黑体" w:eastAsia="黑体"/>
          <w:sz w:val="28"/>
          <w:szCs w:val="28"/>
        </w:rPr>
      </w:pPr>
      <w:r>
        <w:rPr>
          <w:rFonts w:hint="eastAsia" w:ascii="黑体" w:eastAsia="黑体"/>
          <w:sz w:val="28"/>
          <w:szCs w:val="28"/>
        </w:rPr>
        <w:t>二、支出科目</w:t>
      </w:r>
    </w:p>
    <w:p>
      <w:pPr>
        <w:widowControl/>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对部门预算中涉及的支出功能分类科目（明细到项级），结合部门实际，参照《202</w:t>
      </w:r>
      <w:r>
        <w:rPr>
          <w:rFonts w:hint="eastAsia" w:ascii="仿宋_GB2312" w:eastAsia="仿宋_GB2312"/>
          <w:sz w:val="28"/>
          <w:szCs w:val="28"/>
          <w:lang w:val="en-US" w:eastAsia="zh-CN"/>
        </w:rPr>
        <w:t>2</w:t>
      </w:r>
      <w:r>
        <w:rPr>
          <w:rFonts w:hint="eastAsia" w:ascii="仿宋_GB2312" w:eastAsia="仿宋_GB2312"/>
          <w:sz w:val="28"/>
          <w:szCs w:val="28"/>
        </w:rPr>
        <w:t>年政府收支分类科目》的规范说明进行解释。</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样式：</w:t>
      </w:r>
    </w:p>
    <w:p>
      <w:pPr>
        <w:spacing w:line="5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b w:val="0"/>
          <w:sz w:val="28"/>
          <w:szCs w:val="28"/>
          <w:highlight w:val="none"/>
        </w:rPr>
        <w:t>（一）</w:t>
      </w:r>
      <w:r>
        <w:rPr>
          <w:rFonts w:hint="eastAsia" w:ascii="仿宋_GB2312" w:hAnsi="仿宋_GB2312" w:eastAsia="仿宋_GB2312" w:cs="仿宋_GB2312"/>
          <w:sz w:val="28"/>
          <w:szCs w:val="28"/>
        </w:rPr>
        <w:t>一般公共服务（类）人大事务（款）行政运行（项）：反映各级人大行政单位（包括实行公务员管理的事业单位）的基本支出；</w:t>
      </w:r>
    </w:p>
    <w:p>
      <w:pPr>
        <w:spacing w:line="5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b w:val="0"/>
          <w:bCs/>
          <w:sz w:val="28"/>
          <w:szCs w:val="28"/>
        </w:rPr>
        <w:t>（二）</w:t>
      </w:r>
      <w:r>
        <w:rPr>
          <w:rFonts w:hint="eastAsia" w:ascii="仿宋_GB2312" w:hAnsi="仿宋_GB2312" w:eastAsia="仿宋_GB2312" w:cs="仿宋_GB2312"/>
          <w:sz w:val="28"/>
          <w:szCs w:val="28"/>
        </w:rPr>
        <w:t>……</w:t>
      </w:r>
    </w:p>
    <w:p>
      <w:pPr>
        <w:spacing w:line="540" w:lineRule="exact"/>
        <w:ind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b w:val="0"/>
          <w:bCs/>
          <w:sz w:val="28"/>
          <w:szCs w:val="28"/>
        </w:rPr>
        <w:t>（三）</w:t>
      </w:r>
      <w:r>
        <w:rPr>
          <w:rFonts w:hint="eastAsia" w:ascii="仿宋_GB2312" w:hAnsi="仿宋_GB2312" w:eastAsia="仿宋_GB2312" w:cs="仿宋_GB2312"/>
          <w:sz w:val="28"/>
          <w:szCs w:val="28"/>
        </w:rPr>
        <w:t>……</w:t>
      </w:r>
    </w:p>
    <w:p>
      <w:pPr>
        <w:spacing w:line="540" w:lineRule="exact"/>
        <w:ind w:firstLine="560" w:firstLineChars="200"/>
        <w:rPr>
          <w:rFonts w:hint="eastAsia" w:ascii="仿宋_GB2312" w:eastAsia="仿宋_GB2312"/>
          <w:sz w:val="28"/>
          <w:szCs w:val="28"/>
        </w:rPr>
      </w:pPr>
      <w:r>
        <w:rPr>
          <w:rFonts w:hint="eastAsia" w:ascii="仿宋_GB2312" w:hAnsi="仿宋_GB2312" w:eastAsia="仿宋_GB2312" w:cs="仿宋_GB2312"/>
          <w:sz w:val="28"/>
          <w:szCs w:val="28"/>
        </w:rPr>
        <w:t>以上收支科目，</w:t>
      </w:r>
      <w:r>
        <w:rPr>
          <w:rFonts w:hint="eastAsia" w:ascii="仿宋_GB2312" w:eastAsia="仿宋_GB2312"/>
          <w:sz w:val="28"/>
          <w:szCs w:val="28"/>
        </w:rPr>
        <w:t>各部门应结合本部门实际选取科目进行解释。</w:t>
      </w:r>
    </w:p>
    <w:p/>
    <w:p/>
    <w:p/>
    <w:p/>
    <w:p/>
    <w:p/>
    <w:p>
      <w:pPr>
        <w:jc w:val="center"/>
        <w:rPr>
          <w:rFonts w:hint="eastAsia" w:ascii="方正小标宋简体" w:eastAsia="方正小标宋简体"/>
          <w:sz w:val="44"/>
          <w:szCs w:val="44"/>
          <w:highlight w:val="none"/>
        </w:rPr>
      </w:pPr>
    </w:p>
    <w:p>
      <w:pPr>
        <w:jc w:val="center"/>
        <w:rPr>
          <w:rFonts w:hint="default"/>
          <w:lang w:val="en-US"/>
        </w:rPr>
      </w:pPr>
      <w:r>
        <w:rPr>
          <w:rFonts w:hint="eastAsia" w:ascii="方正小标宋简体" w:eastAsia="方正小标宋简体"/>
          <w:sz w:val="44"/>
          <w:szCs w:val="44"/>
          <w:highlight w:val="none"/>
        </w:rPr>
        <w:t>南昌市</w:t>
      </w:r>
      <w:r>
        <w:rPr>
          <w:rFonts w:hint="eastAsia" w:ascii="方正小标宋简体" w:eastAsia="方正小标宋简体"/>
          <w:sz w:val="44"/>
          <w:szCs w:val="44"/>
          <w:highlight w:val="none"/>
          <w:lang w:eastAsia="zh-CN"/>
        </w:rPr>
        <w:t>土地储备中心</w:t>
      </w:r>
      <w:r>
        <w:rPr>
          <w:rFonts w:hint="eastAsia" w:ascii="方正小标宋简体" w:eastAsia="方正小标宋简体"/>
          <w:sz w:val="44"/>
          <w:szCs w:val="44"/>
          <w:highlight w:val="none"/>
          <w:lang w:val="en-US" w:eastAsia="zh-CN"/>
        </w:rPr>
        <w:t>2022年部门预算表</w:t>
      </w:r>
    </w:p>
    <w:p/>
    <w:p/>
    <w:p>
      <w:pPr>
        <w:widowControl/>
        <w:spacing w:line="540" w:lineRule="exact"/>
        <w:rPr>
          <w:rFonts w:hint="default" w:ascii="仿宋_GB2312" w:eastAsia="仿宋_GB2312"/>
          <w:sz w:val="28"/>
          <w:szCs w:val="28"/>
          <w:lang w:val="en-US" w:eastAsia="zh-CN"/>
        </w:rPr>
      </w:pPr>
      <w:r>
        <w:rPr>
          <w:rFonts w:hint="eastAsia" w:ascii="仿宋_GB2312" w:eastAsia="仿宋_GB2312"/>
          <w:sz w:val="28"/>
          <w:szCs w:val="28"/>
          <w:lang w:val="en-US" w:eastAsia="zh-CN"/>
        </w:rPr>
        <w:t>附件1：</w:t>
      </w:r>
    </w:p>
    <w:p/>
    <w:p>
      <w:r>
        <w:drawing>
          <wp:inline distT="0" distB="0" distL="114300" distR="114300">
            <wp:extent cx="5270500" cy="2317750"/>
            <wp:effectExtent l="0" t="0" r="6350" b="635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4"/>
                    <a:stretch>
                      <a:fillRect/>
                    </a:stretch>
                  </pic:blipFill>
                  <pic:spPr>
                    <a:xfrm>
                      <a:off x="0" y="0"/>
                      <a:ext cx="5270500" cy="2317750"/>
                    </a:xfrm>
                    <a:prstGeom prst="rect">
                      <a:avLst/>
                    </a:prstGeom>
                    <a:noFill/>
                    <a:ln>
                      <a:noFill/>
                    </a:ln>
                  </pic:spPr>
                </pic:pic>
              </a:graphicData>
            </a:graphic>
          </wp:inline>
        </w:drawing>
      </w:r>
    </w:p>
    <w:p/>
    <w:p/>
    <w:p/>
    <w:p>
      <w:pPr>
        <w:widowControl/>
        <w:spacing w:line="540" w:lineRule="exact"/>
        <w:rPr>
          <w:rFonts w:hint="default" w:ascii="仿宋_GB2312" w:eastAsia="仿宋_GB2312"/>
          <w:sz w:val="28"/>
          <w:szCs w:val="28"/>
          <w:lang w:val="en-US" w:eastAsia="zh-CN"/>
        </w:rPr>
      </w:pPr>
      <w:r>
        <w:rPr>
          <w:rFonts w:hint="eastAsia" w:ascii="仿宋_GB2312" w:eastAsia="仿宋_GB2312"/>
          <w:sz w:val="28"/>
          <w:szCs w:val="28"/>
          <w:lang w:val="en-US" w:eastAsia="zh-CN"/>
        </w:rPr>
        <w:t>附件2：</w:t>
      </w:r>
    </w:p>
    <w:p>
      <w:r>
        <w:drawing>
          <wp:inline distT="0" distB="0" distL="114300" distR="114300">
            <wp:extent cx="5274310" cy="2163445"/>
            <wp:effectExtent l="0" t="0" r="2540" b="8255"/>
            <wp:docPr id="1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pic:cNvPicPr>
                      <a:picLocks noChangeAspect="1"/>
                    </pic:cNvPicPr>
                  </pic:nvPicPr>
                  <pic:blipFill>
                    <a:blip r:embed="rId5"/>
                    <a:stretch>
                      <a:fillRect/>
                    </a:stretch>
                  </pic:blipFill>
                  <pic:spPr>
                    <a:xfrm>
                      <a:off x="0" y="0"/>
                      <a:ext cx="5274310" cy="2163445"/>
                    </a:xfrm>
                    <a:prstGeom prst="rect">
                      <a:avLst/>
                    </a:prstGeom>
                    <a:noFill/>
                    <a:ln>
                      <a:noFill/>
                    </a:ln>
                  </pic:spPr>
                </pic:pic>
              </a:graphicData>
            </a:graphic>
          </wp:inline>
        </w:drawing>
      </w:r>
    </w:p>
    <w:p/>
    <w:p>
      <w:pPr>
        <w:widowControl/>
        <w:spacing w:line="540" w:lineRule="exact"/>
        <w:rPr>
          <w:rFonts w:hint="eastAsia" w:ascii="仿宋_GB2312" w:eastAsia="仿宋_GB2312"/>
          <w:sz w:val="28"/>
          <w:szCs w:val="28"/>
          <w:lang w:val="en-US" w:eastAsia="zh-CN"/>
        </w:rPr>
      </w:pPr>
    </w:p>
    <w:p>
      <w:pPr>
        <w:widowControl/>
        <w:spacing w:line="540" w:lineRule="exact"/>
        <w:rPr>
          <w:rFonts w:hint="eastAsia" w:ascii="仿宋_GB2312" w:eastAsia="仿宋_GB2312"/>
          <w:sz w:val="28"/>
          <w:szCs w:val="28"/>
          <w:lang w:val="en-US" w:eastAsia="zh-CN"/>
        </w:rPr>
      </w:pPr>
    </w:p>
    <w:p>
      <w:pPr>
        <w:widowControl/>
        <w:spacing w:line="540" w:lineRule="exact"/>
        <w:rPr>
          <w:rFonts w:hint="eastAsia" w:ascii="仿宋_GB2312" w:eastAsia="仿宋_GB2312"/>
          <w:sz w:val="28"/>
          <w:szCs w:val="28"/>
          <w:lang w:val="en-US" w:eastAsia="zh-CN"/>
        </w:rPr>
      </w:pPr>
    </w:p>
    <w:p>
      <w:pPr>
        <w:widowControl/>
        <w:spacing w:line="540" w:lineRule="exact"/>
        <w:rPr>
          <w:rFonts w:hint="eastAsia" w:ascii="仿宋_GB2312" w:eastAsia="仿宋_GB2312"/>
          <w:sz w:val="28"/>
          <w:szCs w:val="28"/>
          <w:lang w:val="en-US" w:eastAsia="zh-CN"/>
        </w:rPr>
      </w:pPr>
    </w:p>
    <w:p>
      <w:pPr>
        <w:widowControl/>
        <w:spacing w:line="540" w:lineRule="exact"/>
        <w:rPr>
          <w:rFonts w:hint="eastAsia" w:ascii="仿宋_GB2312" w:eastAsia="仿宋_GB2312"/>
          <w:sz w:val="28"/>
          <w:szCs w:val="28"/>
          <w:lang w:val="en-US" w:eastAsia="zh-CN"/>
        </w:rPr>
      </w:pPr>
    </w:p>
    <w:p>
      <w:pPr>
        <w:widowControl/>
        <w:spacing w:line="540" w:lineRule="exact"/>
        <w:rPr>
          <w:rFonts w:hint="default" w:ascii="仿宋_GB2312" w:eastAsia="仿宋_GB2312"/>
          <w:sz w:val="28"/>
          <w:szCs w:val="28"/>
          <w:lang w:val="en-US" w:eastAsia="zh-CN"/>
        </w:rPr>
      </w:pPr>
      <w:r>
        <w:rPr>
          <w:rFonts w:hint="eastAsia" w:ascii="仿宋_GB2312" w:eastAsia="仿宋_GB2312"/>
          <w:sz w:val="28"/>
          <w:szCs w:val="28"/>
          <w:lang w:val="en-US" w:eastAsia="zh-CN"/>
        </w:rPr>
        <w:t>附件3：</w:t>
      </w:r>
    </w:p>
    <w:p>
      <w:r>
        <w:drawing>
          <wp:inline distT="0" distB="0" distL="114300" distR="114300">
            <wp:extent cx="5269230" cy="3077210"/>
            <wp:effectExtent l="0" t="0" r="7620" b="8890"/>
            <wp:docPr id="1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4"/>
                    <pic:cNvPicPr>
                      <a:picLocks noChangeAspect="1"/>
                    </pic:cNvPicPr>
                  </pic:nvPicPr>
                  <pic:blipFill>
                    <a:blip r:embed="rId6"/>
                    <a:stretch>
                      <a:fillRect/>
                    </a:stretch>
                  </pic:blipFill>
                  <pic:spPr>
                    <a:xfrm>
                      <a:off x="0" y="0"/>
                      <a:ext cx="5269230" cy="3077210"/>
                    </a:xfrm>
                    <a:prstGeom prst="rect">
                      <a:avLst/>
                    </a:prstGeom>
                    <a:noFill/>
                    <a:ln>
                      <a:noFill/>
                    </a:ln>
                  </pic:spPr>
                </pic:pic>
              </a:graphicData>
            </a:graphic>
          </wp:inline>
        </w:drawing>
      </w:r>
    </w:p>
    <w:p/>
    <w:p/>
    <w:p>
      <w:pPr>
        <w:rPr>
          <w:rFonts w:hint="eastAsia" w:ascii="仿宋_GB2312" w:eastAsia="仿宋_GB2312"/>
          <w:sz w:val="28"/>
          <w:szCs w:val="28"/>
          <w:lang w:val="en-US" w:eastAsia="zh-CN"/>
        </w:rPr>
      </w:pPr>
      <w:r>
        <w:rPr>
          <w:rFonts w:hint="eastAsia" w:ascii="仿宋_GB2312" w:eastAsia="仿宋_GB2312"/>
          <w:sz w:val="28"/>
          <w:szCs w:val="28"/>
          <w:lang w:val="en-US" w:eastAsia="zh-CN"/>
        </w:rPr>
        <w:t>附件4：</w:t>
      </w:r>
    </w:p>
    <w:p>
      <w:r>
        <w:drawing>
          <wp:inline distT="0" distB="0" distL="114300" distR="114300">
            <wp:extent cx="5266690" cy="1603375"/>
            <wp:effectExtent l="0" t="0" r="10160" b="158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5266690" cy="1603375"/>
                    </a:xfrm>
                    <a:prstGeom prst="rect">
                      <a:avLst/>
                    </a:prstGeom>
                    <a:noFill/>
                    <a:ln>
                      <a:noFill/>
                    </a:ln>
                  </pic:spPr>
                </pic:pic>
              </a:graphicData>
            </a:graphic>
          </wp:inline>
        </w:drawing>
      </w:r>
    </w:p>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r>
        <w:rPr>
          <w:rFonts w:hint="eastAsia" w:ascii="仿宋_GB2312" w:eastAsia="仿宋_GB2312"/>
          <w:sz w:val="28"/>
          <w:szCs w:val="28"/>
          <w:lang w:val="en-US" w:eastAsia="zh-CN"/>
        </w:rPr>
        <w:t>附件5：</w:t>
      </w:r>
    </w:p>
    <w:p>
      <w:pPr>
        <w:rPr>
          <w:rFonts w:hint="eastAsia" w:ascii="仿宋_GB2312" w:eastAsia="仿宋_GB2312"/>
          <w:sz w:val="28"/>
          <w:szCs w:val="28"/>
          <w:lang w:val="en-US" w:eastAsia="zh-CN"/>
        </w:rPr>
      </w:pPr>
    </w:p>
    <w:p>
      <w:r>
        <w:drawing>
          <wp:inline distT="0" distB="0" distL="114300" distR="114300">
            <wp:extent cx="5269865" cy="3469005"/>
            <wp:effectExtent l="0" t="0" r="6985"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5269865" cy="3469005"/>
                    </a:xfrm>
                    <a:prstGeom prst="rect">
                      <a:avLst/>
                    </a:prstGeom>
                    <a:noFill/>
                    <a:ln>
                      <a:noFill/>
                    </a:ln>
                  </pic:spPr>
                </pic:pic>
              </a:graphicData>
            </a:graphic>
          </wp:inline>
        </w:drawing>
      </w:r>
    </w:p>
    <w:p>
      <w:pPr>
        <w:rPr>
          <w:rFonts w:hint="eastAsia"/>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p>
    <w:p>
      <w:pPr>
        <w:rPr>
          <w:rFonts w:hint="eastAsia" w:ascii="仿宋_GB2312" w:eastAsia="仿宋_GB2312"/>
          <w:sz w:val="28"/>
          <w:szCs w:val="28"/>
          <w:lang w:val="en-US" w:eastAsia="zh-CN"/>
        </w:rPr>
      </w:pPr>
      <w:r>
        <w:rPr>
          <w:rFonts w:hint="eastAsia" w:ascii="仿宋_GB2312" w:eastAsia="仿宋_GB2312"/>
          <w:sz w:val="28"/>
          <w:szCs w:val="28"/>
          <w:lang w:val="en-US" w:eastAsia="zh-CN"/>
        </w:rPr>
        <w:t>附件6：</w:t>
      </w:r>
    </w:p>
    <w:p>
      <w:r>
        <w:drawing>
          <wp:inline distT="0" distB="0" distL="114300" distR="114300">
            <wp:extent cx="5266690" cy="5334000"/>
            <wp:effectExtent l="0" t="0" r="1016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9"/>
                    <a:stretch>
                      <a:fillRect/>
                    </a:stretch>
                  </pic:blipFill>
                  <pic:spPr>
                    <a:xfrm>
                      <a:off x="0" y="0"/>
                      <a:ext cx="5266690" cy="5334000"/>
                    </a:xfrm>
                    <a:prstGeom prst="rect">
                      <a:avLst/>
                    </a:prstGeom>
                    <a:noFill/>
                    <a:ln>
                      <a:noFill/>
                    </a:ln>
                  </pic:spPr>
                </pic:pic>
              </a:graphicData>
            </a:graphic>
          </wp:inline>
        </w:drawing>
      </w:r>
    </w:p>
    <w:p/>
    <w:p>
      <w:pPr>
        <w:rPr>
          <w:rFonts w:hint="eastAsia" w:ascii="仿宋_GB2312" w:eastAsia="仿宋_GB2312"/>
          <w:sz w:val="28"/>
          <w:szCs w:val="28"/>
          <w:lang w:val="en-US" w:eastAsia="zh-CN"/>
        </w:rPr>
      </w:pPr>
      <w:r>
        <w:rPr>
          <w:rFonts w:hint="eastAsia" w:ascii="仿宋_GB2312" w:eastAsia="仿宋_GB2312"/>
          <w:sz w:val="28"/>
          <w:szCs w:val="28"/>
          <w:lang w:val="en-US" w:eastAsia="zh-CN"/>
        </w:rPr>
        <w:t>附件7：</w:t>
      </w:r>
    </w:p>
    <w:p>
      <w:r>
        <w:drawing>
          <wp:inline distT="0" distB="0" distL="114300" distR="114300">
            <wp:extent cx="5274310" cy="1214755"/>
            <wp:effectExtent l="0" t="0" r="2540" b="444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10"/>
                    <a:stretch>
                      <a:fillRect/>
                    </a:stretch>
                  </pic:blipFill>
                  <pic:spPr>
                    <a:xfrm>
                      <a:off x="0" y="0"/>
                      <a:ext cx="5274310" cy="1214755"/>
                    </a:xfrm>
                    <a:prstGeom prst="rect">
                      <a:avLst/>
                    </a:prstGeom>
                    <a:noFill/>
                    <a:ln>
                      <a:noFill/>
                    </a:ln>
                  </pic:spPr>
                </pic:pic>
              </a:graphicData>
            </a:graphic>
          </wp:inline>
        </w:drawing>
      </w:r>
    </w:p>
    <w:p/>
    <w:p/>
    <w:p/>
    <w:p/>
    <w:p/>
    <w:p>
      <w:pPr>
        <w:rPr>
          <w:rFonts w:hint="eastAsia" w:ascii="仿宋_GB2312" w:eastAsia="仿宋_GB2312"/>
          <w:sz w:val="28"/>
          <w:szCs w:val="28"/>
          <w:lang w:val="en-US" w:eastAsia="zh-CN"/>
        </w:rPr>
      </w:pPr>
      <w:r>
        <w:rPr>
          <w:rFonts w:hint="eastAsia" w:ascii="仿宋_GB2312" w:eastAsia="仿宋_GB2312"/>
          <w:sz w:val="28"/>
          <w:szCs w:val="28"/>
          <w:lang w:val="en-US" w:eastAsia="zh-CN"/>
        </w:rPr>
        <w:t>附件8：</w:t>
      </w:r>
    </w:p>
    <w:p>
      <w:r>
        <w:drawing>
          <wp:inline distT="0" distB="0" distL="114300" distR="114300">
            <wp:extent cx="5266690" cy="1087755"/>
            <wp:effectExtent l="0" t="0" r="10160" b="171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11"/>
                    <a:stretch>
                      <a:fillRect/>
                    </a:stretch>
                  </pic:blipFill>
                  <pic:spPr>
                    <a:xfrm>
                      <a:off x="0" y="0"/>
                      <a:ext cx="5266690" cy="1087755"/>
                    </a:xfrm>
                    <a:prstGeom prst="rect">
                      <a:avLst/>
                    </a:prstGeom>
                    <a:noFill/>
                    <a:ln>
                      <a:noFill/>
                    </a:ln>
                  </pic:spPr>
                </pic:pic>
              </a:graphicData>
            </a:graphic>
          </wp:inline>
        </w:drawing>
      </w:r>
    </w:p>
    <w:p/>
    <w:p>
      <w:pPr>
        <w:rPr>
          <w:rFonts w:hint="eastAsia" w:ascii="仿宋_GB2312" w:eastAsia="仿宋_GB2312"/>
          <w:sz w:val="28"/>
          <w:szCs w:val="28"/>
          <w:lang w:val="en-US" w:eastAsia="zh-CN"/>
        </w:rPr>
      </w:pPr>
      <w:r>
        <w:rPr>
          <w:rFonts w:hint="eastAsia" w:ascii="仿宋_GB2312" w:eastAsia="仿宋_GB2312"/>
          <w:sz w:val="28"/>
          <w:szCs w:val="28"/>
          <w:lang w:val="en-US" w:eastAsia="zh-CN"/>
        </w:rPr>
        <w:t>附件9：</w:t>
      </w:r>
    </w:p>
    <w:p>
      <w:r>
        <w:drawing>
          <wp:inline distT="0" distB="0" distL="114300" distR="114300">
            <wp:extent cx="5267325" cy="1167765"/>
            <wp:effectExtent l="0" t="0" r="9525" b="1333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12"/>
                    <a:stretch>
                      <a:fillRect/>
                    </a:stretch>
                  </pic:blipFill>
                  <pic:spPr>
                    <a:xfrm>
                      <a:off x="0" y="0"/>
                      <a:ext cx="5267325" cy="1167765"/>
                    </a:xfrm>
                    <a:prstGeom prst="rect">
                      <a:avLst/>
                    </a:prstGeom>
                    <a:noFill/>
                    <a:ln>
                      <a:noFill/>
                    </a:ln>
                  </pic:spPr>
                </pic:pic>
              </a:graphicData>
            </a:graphic>
          </wp:inline>
        </w:drawing>
      </w:r>
    </w:p>
    <w:p/>
    <w:p>
      <w:pPr>
        <w:rPr>
          <w:rFonts w:hint="eastAsia"/>
          <w:lang w:val="en-US" w:eastAsia="zh-CN"/>
        </w:rPr>
      </w:pPr>
    </w:p>
    <w:p>
      <w:pPr>
        <w:rPr>
          <w:rFonts w:hint="eastAsia" w:ascii="仿宋_GB2312" w:eastAsia="仿宋_GB2312"/>
          <w:sz w:val="28"/>
          <w:szCs w:val="28"/>
          <w:lang w:val="en-US" w:eastAsia="zh-CN"/>
        </w:rPr>
      </w:pPr>
      <w:r>
        <w:rPr>
          <w:rFonts w:hint="eastAsia" w:ascii="仿宋_GB2312" w:eastAsia="仿宋_GB2312"/>
          <w:sz w:val="28"/>
          <w:szCs w:val="28"/>
          <w:lang w:val="en-US" w:eastAsia="zh-CN"/>
        </w:rPr>
        <w:t>附件10：</w:t>
      </w:r>
    </w:p>
    <w:p>
      <w:r>
        <w:drawing>
          <wp:inline distT="0" distB="0" distL="114300" distR="114300">
            <wp:extent cx="5271770" cy="4200525"/>
            <wp:effectExtent l="0" t="0" r="508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3"/>
                    <a:stretch>
                      <a:fillRect/>
                    </a:stretch>
                  </pic:blipFill>
                  <pic:spPr>
                    <a:xfrm>
                      <a:off x="0" y="0"/>
                      <a:ext cx="5271770" cy="4200525"/>
                    </a:xfrm>
                    <a:prstGeom prst="rect">
                      <a:avLst/>
                    </a:prstGeom>
                    <a:noFill/>
                    <a:ln>
                      <a:noFill/>
                    </a:ln>
                  </pic:spPr>
                </pic:pic>
              </a:graphicData>
            </a:graphic>
          </wp:inline>
        </w:drawing>
      </w:r>
    </w:p>
    <w:p/>
    <w:p>
      <w:pPr>
        <w:rPr>
          <w:rFonts w:hint="eastAsia" w:ascii="仿宋_GB2312" w:eastAsia="仿宋_GB2312"/>
          <w:sz w:val="28"/>
          <w:szCs w:val="28"/>
          <w:lang w:val="en-US" w:eastAsia="zh-CN"/>
        </w:rPr>
      </w:pPr>
      <w:r>
        <w:rPr>
          <w:rFonts w:hint="eastAsia" w:ascii="仿宋_GB2312" w:eastAsia="仿宋_GB2312"/>
          <w:sz w:val="28"/>
          <w:szCs w:val="28"/>
          <w:lang w:val="en-US" w:eastAsia="zh-CN"/>
        </w:rPr>
        <w:t>附件11：</w:t>
      </w:r>
    </w:p>
    <w:p>
      <w:r>
        <w:drawing>
          <wp:inline distT="0" distB="0" distL="114300" distR="114300">
            <wp:extent cx="5272405" cy="3919220"/>
            <wp:effectExtent l="0" t="0" r="4445" b="508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4"/>
                    <a:stretch>
                      <a:fillRect/>
                    </a:stretch>
                  </pic:blipFill>
                  <pic:spPr>
                    <a:xfrm>
                      <a:off x="0" y="0"/>
                      <a:ext cx="5272405" cy="3919220"/>
                    </a:xfrm>
                    <a:prstGeom prst="rect">
                      <a:avLst/>
                    </a:prstGeom>
                    <a:noFill/>
                    <a:ln>
                      <a:noFill/>
                    </a:ln>
                  </pic:spPr>
                </pic:pic>
              </a:graphicData>
            </a:graphic>
          </wp:inline>
        </w:drawing>
      </w:r>
    </w:p>
    <w:p/>
    <w:p>
      <w:pPr>
        <w:rPr>
          <w:rFonts w:hint="eastAsia" w:ascii="仿宋_GB2312" w:eastAsia="仿宋_GB2312"/>
          <w:sz w:val="28"/>
          <w:szCs w:val="28"/>
          <w:lang w:val="en-US" w:eastAsia="zh-CN"/>
        </w:rPr>
      </w:pPr>
      <w:r>
        <w:rPr>
          <w:rFonts w:hint="eastAsia" w:ascii="仿宋_GB2312" w:eastAsia="仿宋_GB2312"/>
          <w:sz w:val="28"/>
          <w:szCs w:val="28"/>
          <w:lang w:val="en-US" w:eastAsia="zh-CN"/>
        </w:rPr>
        <w:t>附件12：</w:t>
      </w:r>
    </w:p>
    <w:p>
      <w:pPr>
        <w:rPr>
          <w:rFonts w:hint="eastAsia"/>
          <w:lang w:val="en-US" w:eastAsia="zh-CN"/>
        </w:rPr>
      </w:pPr>
      <w:r>
        <w:drawing>
          <wp:inline distT="0" distB="0" distL="114300" distR="114300">
            <wp:extent cx="5271135" cy="3426460"/>
            <wp:effectExtent l="0" t="0" r="5715" b="2540"/>
            <wp:docPr id="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pic:cNvPicPr>
                      <a:picLocks noChangeAspect="1"/>
                    </pic:cNvPicPr>
                  </pic:nvPicPr>
                  <pic:blipFill>
                    <a:blip r:embed="rId15"/>
                    <a:stretch>
                      <a:fillRect/>
                    </a:stretch>
                  </pic:blipFill>
                  <pic:spPr>
                    <a:xfrm>
                      <a:off x="0" y="0"/>
                      <a:ext cx="5271135" cy="342646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8E77BF"/>
    <w:multiLevelType w:val="singleLevel"/>
    <w:tmpl w:val="9A8E77BF"/>
    <w:lvl w:ilvl="0" w:tentative="0">
      <w:start w:val="1"/>
      <w:numFmt w:val="chineseCounting"/>
      <w:suff w:val="nothing"/>
      <w:lvlText w:val="%1、"/>
      <w:lvlJc w:val="left"/>
      <w:rPr>
        <w:rFonts w:hint="eastAsia"/>
      </w:rPr>
    </w:lvl>
  </w:abstractNum>
  <w:abstractNum w:abstractNumId="1">
    <w:nsid w:val="50BBF536"/>
    <w:multiLevelType w:val="singleLevel"/>
    <w:tmpl w:val="50BBF536"/>
    <w:lvl w:ilvl="0" w:tentative="0">
      <w:start w:val="5"/>
      <w:numFmt w:val="chineseCounting"/>
      <w:suff w:val="nothing"/>
      <w:lvlText w:val="（%1）"/>
      <w:lvlJc w:val="left"/>
      <w:rPr>
        <w:rFonts w:hint="eastAsia" w:ascii="楷体_GB2312" w:hAnsi="楷体_GB2312" w:eastAsia="楷体_GB2312" w:cs="楷体_GB2312"/>
        <w:b/>
        <w:bCs/>
      </w:rPr>
    </w:lvl>
  </w:abstractNum>
  <w:abstractNum w:abstractNumId="2">
    <w:nsid w:val="7CF92C7F"/>
    <w:multiLevelType w:val="singleLevel"/>
    <w:tmpl w:val="7CF92C7F"/>
    <w:lvl w:ilvl="0" w:tentative="0">
      <w:start w:val="1"/>
      <w:numFmt w:val="chineseCounting"/>
      <w:suff w:val="nothing"/>
      <w:lvlText w:val="（%1）"/>
      <w:lvlJc w:val="left"/>
      <w:rPr>
        <w:rFonts w:hint="eastAsia"/>
        <w:b/>
        <w:bCs/>
        <w:sz w:val="28"/>
        <w:szCs w:val="28"/>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84F"/>
    <w:rsid w:val="0050384F"/>
    <w:rsid w:val="05C009BB"/>
    <w:rsid w:val="0B987BC0"/>
    <w:rsid w:val="1C872AE9"/>
    <w:rsid w:val="456953BE"/>
    <w:rsid w:val="74E425B0"/>
    <w:rsid w:val="76A874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2022-02-21T06:10:00Z</dcterms:created>
  <dc:creator>勇敢的心</dc:creator>
  <cp:lastModifiedBy>勇敢的心</cp:lastModifiedBy>
  <cp:lastPrinted>2022-02-22T08:00:00Z</cp:lastPrinted>
  <dcterms:modified xsi:type="dcterms:W3CDTF">2022-02-23T02:00:34Z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DFBB3C3BFCC5424D8F52CA20E5BC848F</vt:lpwstr>
  </property>
</Properties>
</file>